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B" w:rsidRDefault="00FE500B" w:rsidP="00FE500B">
      <w:pPr>
        <w:pStyle w:val="Otsikko1"/>
        <w:rPr>
          <w:lang w:val="en-US"/>
        </w:rPr>
      </w:pPr>
      <w:bookmarkStart w:id="0" w:name="_GoBack"/>
      <w:proofErr w:type="spellStart"/>
      <w:r w:rsidRPr="00FE500B">
        <w:rPr>
          <w:lang w:val="en-US"/>
        </w:rPr>
        <w:t>Mönkijät</w:t>
      </w:r>
      <w:proofErr w:type="spellEnd"/>
      <w:r w:rsidRPr="00FE500B">
        <w:rPr>
          <w:lang w:val="en-US"/>
        </w:rPr>
        <w:t xml:space="preserve"> </w:t>
      </w:r>
      <w:proofErr w:type="spellStart"/>
      <w:r w:rsidRPr="00FE500B">
        <w:rPr>
          <w:lang w:val="en-US"/>
        </w:rPr>
        <w:t>lähellä</w:t>
      </w:r>
      <w:proofErr w:type="spellEnd"/>
      <w:r w:rsidRPr="00FE500B">
        <w:rPr>
          <w:lang w:val="en-US"/>
        </w:rPr>
        <w:t xml:space="preserve"> </w:t>
      </w:r>
      <w:proofErr w:type="spellStart"/>
      <w:r w:rsidRPr="00FE500B">
        <w:rPr>
          <w:lang w:val="en-US"/>
        </w:rPr>
        <w:t>suomalaisten</w:t>
      </w:r>
      <w:proofErr w:type="spellEnd"/>
      <w:r w:rsidRPr="00FE500B">
        <w:rPr>
          <w:lang w:val="en-US"/>
        </w:rPr>
        <w:t xml:space="preserve"> </w:t>
      </w:r>
      <w:proofErr w:type="spellStart"/>
      <w:r w:rsidRPr="00FE500B">
        <w:rPr>
          <w:lang w:val="en-US"/>
        </w:rPr>
        <w:t>sydäntä</w:t>
      </w:r>
      <w:proofErr w:type="spellEnd"/>
      <w:r w:rsidRPr="00FE500B">
        <w:rPr>
          <w:lang w:val="en-US"/>
        </w:rPr>
        <w:t xml:space="preserve"> </w:t>
      </w:r>
      <w:proofErr w:type="spellStart"/>
      <w:proofErr w:type="gramStart"/>
      <w:r w:rsidRPr="00FE500B">
        <w:rPr>
          <w:lang w:val="en-US"/>
        </w:rPr>
        <w:t>ja</w:t>
      </w:r>
      <w:proofErr w:type="spellEnd"/>
      <w:proofErr w:type="gramEnd"/>
      <w:r w:rsidRPr="00FE500B">
        <w:rPr>
          <w:lang w:val="en-US"/>
        </w:rPr>
        <w:t xml:space="preserve"> </w:t>
      </w:r>
      <w:proofErr w:type="spellStart"/>
      <w:r w:rsidRPr="00FE500B">
        <w:rPr>
          <w:lang w:val="en-US"/>
        </w:rPr>
        <w:t>niiden</w:t>
      </w:r>
      <w:proofErr w:type="spellEnd"/>
      <w:r w:rsidRPr="00FE500B">
        <w:rPr>
          <w:lang w:val="en-US"/>
        </w:rPr>
        <w:t xml:space="preserve"> </w:t>
      </w:r>
      <w:proofErr w:type="spellStart"/>
      <w:r w:rsidRPr="00FE500B">
        <w:rPr>
          <w:lang w:val="en-US"/>
        </w:rPr>
        <w:t>myynti</w:t>
      </w:r>
      <w:proofErr w:type="spellEnd"/>
      <w:r w:rsidRPr="00FE500B">
        <w:rPr>
          <w:lang w:val="en-US"/>
        </w:rPr>
        <w:t xml:space="preserve"> </w:t>
      </w:r>
      <w:proofErr w:type="spellStart"/>
      <w:r w:rsidRPr="00FE500B">
        <w:rPr>
          <w:lang w:val="en-US"/>
        </w:rPr>
        <w:t>sen</w:t>
      </w:r>
      <w:proofErr w:type="spellEnd"/>
      <w:r w:rsidRPr="00FE500B">
        <w:rPr>
          <w:lang w:val="en-US"/>
        </w:rPr>
        <w:t xml:space="preserve"> kun </w:t>
      </w:r>
      <w:proofErr w:type="spellStart"/>
      <w:r w:rsidRPr="00FE500B">
        <w:rPr>
          <w:lang w:val="en-US"/>
        </w:rPr>
        <w:t>kasvaa</w:t>
      </w:r>
      <w:proofErr w:type="spellEnd"/>
      <w:r w:rsidRPr="00FE500B">
        <w:rPr>
          <w:lang w:val="en-US"/>
        </w:rPr>
        <w:t>.</w:t>
      </w:r>
    </w:p>
    <w:bookmarkEnd w:id="0"/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1995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pohdiskelimme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ensimmäisien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USA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:n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päämiesmatkojemme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jälkeen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mönkijöiden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myyntiä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Suomessa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Saimme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Yhdysvalloissa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tietoa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mihin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mönkijöitä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siellä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käytetään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ostaa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Heidän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markkinansa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olivat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"over there"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lähes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puoli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miljoonaa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kappaletta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vuodessa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Suomessa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myytiin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muutamia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satoja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Suomessa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kuitenkin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metsäautoteitä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maaseutua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kesämökkejä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suhteellisen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paljon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suomalainen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luonne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aktiivinen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ahkera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joten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hommia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tekemistä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halutaan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luonto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viehättää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>
            <wp:extent cx="8763000" cy="3225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Polaris-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mönkijöiden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menestystarina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Päättelimme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että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hyödyllisyyden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merkitys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tärkeää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tutkimme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mahdollisia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lisävarusteita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erilaisiin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hommiin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töihin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Aloimme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tutkia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miten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useiden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asiakkaiden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kysymykseen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"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Kiinnostava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tuote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mutta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missä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näillä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ajaa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?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",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voidaan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vastata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Näin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alkoi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traktorimönkijöiden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kehitys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suosio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Tavoitteidemme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onnistumisen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edellytys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että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jälleenmyyjiemme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huoltopisteidemme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innostus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ammattitaito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tuotteista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olla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huipputasolla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Aloimme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järjestää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säännöllisesti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vuosittain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Polaris Pro Camp "Polaris-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ammattimies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"-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koulutuksia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ajoimme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käytimme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tuotteitamme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mahdollisimman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paljon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omassa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ympäristössään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noProof/>
          <w:sz w:val="30"/>
          <w:szCs w:val="30"/>
          <w:lang w:val="en-US"/>
        </w:rPr>
        <w:lastRenderedPageBreak/>
        <w:drawing>
          <wp:inline distT="0" distB="0" distL="0" distR="0">
            <wp:extent cx="8763000" cy="32258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Polaris on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maailman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30"/>
          <w:szCs w:val="3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myös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Suomen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myydyin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mönkijämerkki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Olemme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toimittaneet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reilusti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30 000 Polaris-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vuodesta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1994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lähtien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kertoo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Brandt-Polaris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Oy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:n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toimitusjohtaja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Jyrki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Tikkanen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Polaris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suosittu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?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Kiistattomat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Polaris-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tuotteiden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edut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menestykseen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erinomaiset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ajo-ominaisuudet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markkinoiden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parhaaksi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todettu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nelivetotekniikka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reilut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veto-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kuormauskyvyt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turvallinen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mukava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helppo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ajettavuus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urheilullinen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suorituskyky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Polariksen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tarjoama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lisävarustevalikoima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erittäin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laaja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monipuolinen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mallisto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suosion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takana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tuotteiden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onnistuneista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ominaisuuksista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kertoo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kymmenet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testivoitot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erikoismaininnat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Olemme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erittäin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ylpeitä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esimerkiksi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4x4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Maailman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myöntämästä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lausunnosta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”Polaris Sportsman 570 Forest EUT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paras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”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iloitsee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Jyrki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Tikkanen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Uusin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kunnia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lukea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–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lehden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uusimmasta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numerosta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(2/2014),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että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voittanut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senkin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testin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sz w:val="30"/>
          <w:szCs w:val="30"/>
          <w:lang w:val="en-US"/>
        </w:rPr>
        <w:t>Suomessa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on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todella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laajat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käyttömahdollisuudet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mönkijöille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  <w:proofErr w:type="gramEnd"/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Meillä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lähes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120 000 km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metsäautoteitä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lähes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500 000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kesämökkiä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26,3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hehtaaria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(4,6 ha /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asukas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)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n. 740 000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2 ha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kokoisen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metsäalueen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omistajaa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2,5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hehtaaria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peltoa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68 000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maatalousyritystä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Suomalaisen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rakastavat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luontoa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ulkoilmatekemistä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meistä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n. 300 000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harrastaa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metsästystä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n. 2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tykkää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kalastamisesta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n. 2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marjastaa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tai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sienestää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hevostallien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hevosharrastajien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määrä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ollut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viime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vuosina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kasvussa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noProof/>
          <w:sz w:val="30"/>
          <w:szCs w:val="30"/>
          <w:lang w:val="en-US"/>
        </w:rPr>
        <w:drawing>
          <wp:inline distT="0" distB="0" distL="0" distR="0">
            <wp:extent cx="8763000" cy="32258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Mönkijät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ammattikäyttöön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ammattikäyttäjät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huomasivat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mönkijöiden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tarpeellisuuden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nopeasti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Ensimmäiseksi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palo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pelastuslaitokset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huomasivat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kuinka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tarpeellinen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heidän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tehtävissään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Myöhemmin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mönkijäkäyttäviksi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asiakkaiksi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tullut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sähköyhtiöitä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kaivosyhtiöitä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kuntia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kaupunkeja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puolustusvoimat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yleistymässä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voimakkaasti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uusille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aloille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kuten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kiinteistöhuoltoihin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urheilukenttien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huoltoihin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tutkimuslaitoksille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Mönkijä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ympärivuotisilla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telamatoilla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varustettuna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korvaa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jopa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moottorikelkan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useissa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käytöissä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etuna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helppo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kuljetettavuus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peräkärryllä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ketteryys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etenevyys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maastossa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sekä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suhteellinen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edullisuus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noProof/>
          <w:sz w:val="30"/>
          <w:szCs w:val="30"/>
          <w:lang w:val="en-US"/>
        </w:rPr>
        <w:drawing>
          <wp:inline distT="0" distB="0" distL="0" distR="0">
            <wp:extent cx="8763000" cy="32258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Rinnakkainistuttavat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mönkijät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Uusin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suuntaus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alalla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rinnakkainistuttavat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Ne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tarjoavat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entistäkin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enemmän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tilaa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mukavuutta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turvallisuutta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Polaris-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mallisto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tähän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uuteen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kasvavaan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luokkaan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erittäin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laajan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Ranger-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malliston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Ranger-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mallistossa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tarjolla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moottorivaihtoehtoina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327-1000 cc EFI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suoraruiskutusbensiinimoottorit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dieselmoottori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sähkömoottori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Lisäksi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mallistossa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-,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kolme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-,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neljä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-,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viisi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kuusipaikkaiset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Valittavissa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Ranger 6x6 -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sekä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urheilulliset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RZR-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mallit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Rangerit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sopivat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erilaisilla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hyttikokonaisuuksilla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paremmin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ympärivuotiseen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käyttöön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Polaris Ranger 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malleissa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lisäksi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voimansiirrossa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erikoisuutena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1x4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vetoalue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jolloin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vain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takapyörä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vetää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 xml:space="preserve">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etuna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selvästi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pienempi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pyörien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murto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jolloin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maastoon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jäävät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jäljet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vähäisempiä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Turf 1x4 -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vedon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ansiosta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laitteen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kääntösäde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normaalia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pienempi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mikä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tekee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ketterämmän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Myös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renkaiden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kuluminen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ansiosta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pienempää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>
            <wp:extent cx="8763000" cy="32258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Traktorimönkijät</w:t>
      </w:r>
      <w:proofErr w:type="spellEnd"/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Traktorimönkijät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tulivat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mahdollisiksi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vuonna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2007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siitä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lähtien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mönkijöiden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suosio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vain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kasvanut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Asiakkaat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eivät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yleisesti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halunneet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ajaa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mönkijöillään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pitkiä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asfalttitiematkoja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vaan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laillisesti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lyhempiä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siirtymiä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paikasta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toiseen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Traktorirekisteröinti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mahdollisti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kun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traktorimönkijöiden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käyttökustannukset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muutoinkin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erittäin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edulliset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suosio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edelleen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kasvussa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Suomessa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tällä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hetkellä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90 000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mönkijää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käytössä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vuosittainen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uusien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myynti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noin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7 000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kpl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Juhlavuosi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viettää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tänä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vuonna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60v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juhliaan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Brandt-Polaris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menestyksekkäästä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20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vuotisesta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yhteistyöstä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Polaris –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tuotteiden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parissa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Kuvassa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oikealla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Euroopan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johtaja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Truls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Tvete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palkitsee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20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vuotista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yhteistyöstä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Brandt-Polaris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Oy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:tä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Palkintoa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vastaanottamassa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Brandt-Polaris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Oy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:n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toimitusjohtaja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Jyrki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Tikkanen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>
            <wp:extent cx="2159000" cy="2654300"/>
            <wp:effectExtent l="0" t="0" r="0" b="1270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>
            <wp:extent cx="1270000" cy="952500"/>
            <wp:effectExtent l="0" t="0" r="0" b="1270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>
            <wp:extent cx="914400" cy="6858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Materiaalit</w:t>
      </w:r>
      <w:proofErr w:type="spellEnd"/>
    </w:p>
    <w:p w:rsidR="00FE500B" w:rsidRDefault="00FE500B" w:rsidP="00FE500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Aiheeseen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liittyvät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korkearesoluutiokuvat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ladattavista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osoitteesta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</w:t>
      </w:r>
      <w:hyperlink r:id="rId13" w:history="1">
        <w:r>
          <w:rPr>
            <w:rFonts w:ascii="Verdana" w:hAnsi="Verdana" w:cs="Verdana"/>
            <w:color w:val="0000E9"/>
            <w:sz w:val="20"/>
            <w:szCs w:val="20"/>
            <w:u w:val="single" w:color="0000E9"/>
            <w:lang w:val="en-US"/>
          </w:rPr>
          <w:t> http://media.brandt.fi?w=UfiF4QH</w:t>
        </w:r>
      </w:hyperlink>
    </w:p>
    <w:p w:rsidR="00CC3F29" w:rsidRDefault="00FE500B" w:rsidP="00FE500B">
      <w:proofErr w:type="spellStart"/>
      <w:r>
        <w:rPr>
          <w:rFonts w:ascii="Verdana" w:hAnsi="Verdana" w:cs="Verdana"/>
          <w:sz w:val="20"/>
          <w:szCs w:val="20"/>
          <w:lang w:val="en-US"/>
        </w:rPr>
        <w:t>Aiheeseen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liittyvät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videot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ladattavissa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osoitteesta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 </w:t>
      </w:r>
      <w:hyperlink r:id="rId14" w:history="1">
        <w:r>
          <w:rPr>
            <w:rFonts w:ascii="Verdana" w:hAnsi="Verdana" w:cs="Verdana"/>
            <w:color w:val="0000E9"/>
            <w:sz w:val="20"/>
            <w:szCs w:val="20"/>
            <w:u w:val="single" w:color="0000E9"/>
            <w:lang w:val="en-US"/>
          </w:rPr>
          <w:t>http://media.brandt.fi?w=ct5M8FV</w:t>
        </w:r>
      </w:hyperlink>
    </w:p>
    <w:sectPr w:rsidR="00CC3F29" w:rsidSect="00CC3F2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B"/>
    <w:rsid w:val="00CC3F29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13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FE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E500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E500B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FE50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FE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E500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E500B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FE50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media.brandt.fi/?w=UfiF4QH" TargetMode="External"/><Relationship Id="rId14" Type="http://schemas.openxmlformats.org/officeDocument/2006/relationships/hyperlink" Target="http://media.brandt.fi/?w=ct5M8FV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5038</Characters>
  <Application>Microsoft Macintosh Word</Application>
  <DocSecurity>0</DocSecurity>
  <Lines>41</Lines>
  <Paragraphs>11</Paragraphs>
  <ScaleCrop>false</ScaleCrop>
  <Company>Oy Otto Brandt Ab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Valkiainen</dc:creator>
  <cp:keywords/>
  <dc:description/>
  <cp:lastModifiedBy>Marjo Valkiainen</cp:lastModifiedBy>
  <cp:revision>1</cp:revision>
  <dcterms:created xsi:type="dcterms:W3CDTF">2014-11-10T12:50:00Z</dcterms:created>
  <dcterms:modified xsi:type="dcterms:W3CDTF">2014-11-10T12:51:00Z</dcterms:modified>
</cp:coreProperties>
</file>