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64" w:rsidRPr="009349FF" w:rsidRDefault="00B01464" w:rsidP="009349FF">
      <w:pPr>
        <w:rPr>
          <w:b/>
          <w:szCs w:val="24"/>
        </w:rPr>
      </w:pPr>
      <w:r w:rsidRPr="009349FF">
        <w:rPr>
          <w:b/>
          <w:szCs w:val="24"/>
        </w:rPr>
        <w:t>SYÖVÄN</w:t>
      </w:r>
      <w:r w:rsidR="001953E6" w:rsidRPr="009349FF">
        <w:rPr>
          <w:b/>
          <w:szCs w:val="24"/>
        </w:rPr>
        <w:t xml:space="preserve"> AIHEUTTAMAT </w:t>
      </w:r>
      <w:r w:rsidRPr="009349FF">
        <w:rPr>
          <w:b/>
          <w:szCs w:val="24"/>
        </w:rPr>
        <w:t>KUSTANNUKSET</w:t>
      </w:r>
      <w:r w:rsidR="00B0457C" w:rsidRPr="009349FF">
        <w:rPr>
          <w:b/>
          <w:szCs w:val="24"/>
        </w:rPr>
        <w:t xml:space="preserve"> VUOSINA 2009</w:t>
      </w:r>
      <w:r w:rsidRPr="009349FF">
        <w:rPr>
          <w:b/>
          <w:szCs w:val="24"/>
        </w:rPr>
        <w:t xml:space="preserve"> - 2025</w:t>
      </w:r>
    </w:p>
    <w:p w:rsidR="00F03855" w:rsidRDefault="00F03855" w:rsidP="009349FF">
      <w:pPr>
        <w:pStyle w:val="PlainText"/>
        <w:rPr>
          <w:b/>
          <w:szCs w:val="24"/>
        </w:rPr>
      </w:pPr>
    </w:p>
    <w:p w:rsidR="00CC4FA5" w:rsidRDefault="00CC4FA5" w:rsidP="009349FF">
      <w:pPr>
        <w:pStyle w:val="PlainText"/>
        <w:rPr>
          <w:b/>
          <w:szCs w:val="24"/>
        </w:rPr>
      </w:pPr>
    </w:p>
    <w:p w:rsidR="002E6890" w:rsidRDefault="00CC4FA5" w:rsidP="009349FF">
      <w:pPr>
        <w:pStyle w:val="PlainText"/>
        <w:rPr>
          <w:b/>
          <w:szCs w:val="24"/>
        </w:rPr>
      </w:pPr>
      <w:r>
        <w:rPr>
          <w:b/>
          <w:szCs w:val="24"/>
        </w:rPr>
        <w:t>Paulus Torkki</w:t>
      </w:r>
      <w:r w:rsidR="002E6890">
        <w:rPr>
          <w:b/>
          <w:szCs w:val="24"/>
        </w:rPr>
        <w:t>, Apulaisprofessori, Helsingin Yliopisto, Aalto-yliopisto</w:t>
      </w:r>
    </w:p>
    <w:p w:rsidR="00CC4FA5" w:rsidRDefault="00CC4FA5" w:rsidP="009349FF">
      <w:pPr>
        <w:pStyle w:val="PlainText"/>
        <w:rPr>
          <w:b/>
          <w:szCs w:val="24"/>
        </w:rPr>
      </w:pPr>
      <w:r>
        <w:rPr>
          <w:b/>
          <w:szCs w:val="24"/>
        </w:rPr>
        <w:t>Riikka-Leena Leskelä</w:t>
      </w:r>
      <w:r w:rsidR="002E6890">
        <w:rPr>
          <w:b/>
          <w:szCs w:val="24"/>
        </w:rPr>
        <w:t>, Tutkimusjohtaja, Nordic Healthcare Group Oy</w:t>
      </w:r>
    </w:p>
    <w:p w:rsidR="00CC4FA5" w:rsidRDefault="00CC4FA5" w:rsidP="009349FF">
      <w:pPr>
        <w:pStyle w:val="PlainText"/>
        <w:rPr>
          <w:b/>
          <w:szCs w:val="24"/>
        </w:rPr>
      </w:pPr>
      <w:r>
        <w:rPr>
          <w:b/>
          <w:szCs w:val="24"/>
        </w:rPr>
        <w:t>Miika Linna</w:t>
      </w:r>
      <w:r w:rsidR="002E6890">
        <w:rPr>
          <w:b/>
          <w:szCs w:val="24"/>
        </w:rPr>
        <w:t>, Dosentti, Aalto-yliopisto</w:t>
      </w:r>
    </w:p>
    <w:p w:rsidR="00CC4FA5" w:rsidRDefault="00CC4FA5" w:rsidP="009349FF">
      <w:pPr>
        <w:pStyle w:val="PlainText"/>
        <w:rPr>
          <w:b/>
          <w:szCs w:val="24"/>
        </w:rPr>
      </w:pPr>
      <w:r>
        <w:rPr>
          <w:b/>
          <w:szCs w:val="24"/>
        </w:rPr>
        <w:t>Suvi Mäklin</w:t>
      </w:r>
      <w:r w:rsidR="002E6890">
        <w:rPr>
          <w:b/>
          <w:szCs w:val="24"/>
        </w:rPr>
        <w:t>, Tutkija, Syöpäsäätiö</w:t>
      </w:r>
    </w:p>
    <w:p w:rsidR="00CC4FA5" w:rsidRDefault="00CC4FA5" w:rsidP="009349FF">
      <w:pPr>
        <w:pStyle w:val="PlainText"/>
        <w:rPr>
          <w:b/>
          <w:szCs w:val="24"/>
        </w:rPr>
      </w:pPr>
      <w:r>
        <w:rPr>
          <w:b/>
          <w:szCs w:val="24"/>
        </w:rPr>
        <w:t>Jukka-Pekka Mecklin</w:t>
      </w:r>
      <w:r w:rsidR="002E6890">
        <w:rPr>
          <w:b/>
          <w:szCs w:val="24"/>
        </w:rPr>
        <w:t>, Professori, Keski-Suomen sairaanhoitopiiri ja Itä-Suomen yliopisto</w:t>
      </w:r>
    </w:p>
    <w:p w:rsidR="00CC4FA5" w:rsidRDefault="00CC4FA5" w:rsidP="009349FF">
      <w:pPr>
        <w:pStyle w:val="PlainText"/>
        <w:rPr>
          <w:b/>
          <w:szCs w:val="24"/>
        </w:rPr>
      </w:pPr>
      <w:r>
        <w:rPr>
          <w:b/>
          <w:szCs w:val="24"/>
        </w:rPr>
        <w:t>Petri Bono</w:t>
      </w:r>
      <w:r w:rsidR="002E6890">
        <w:rPr>
          <w:b/>
          <w:szCs w:val="24"/>
        </w:rPr>
        <w:t>, Johtajaylilääkäri, HYKS</w:t>
      </w:r>
    </w:p>
    <w:p w:rsidR="00CC4FA5" w:rsidRDefault="00CC4FA5" w:rsidP="009349FF">
      <w:pPr>
        <w:pStyle w:val="PlainText"/>
        <w:rPr>
          <w:b/>
          <w:szCs w:val="24"/>
        </w:rPr>
      </w:pPr>
      <w:r>
        <w:rPr>
          <w:b/>
          <w:szCs w:val="24"/>
        </w:rPr>
        <w:t>Vesa Kataja</w:t>
      </w:r>
      <w:r w:rsidR="002E6890">
        <w:rPr>
          <w:b/>
          <w:szCs w:val="24"/>
        </w:rPr>
        <w:t>, Johtajaylilääkäri, Keski-Suomen sairaanhoitopiiri</w:t>
      </w:r>
    </w:p>
    <w:p w:rsidR="00CC4FA5" w:rsidRDefault="00CC4FA5" w:rsidP="009349FF">
      <w:pPr>
        <w:pStyle w:val="PlainText"/>
        <w:rPr>
          <w:b/>
          <w:szCs w:val="24"/>
        </w:rPr>
      </w:pPr>
      <w:r>
        <w:rPr>
          <w:b/>
          <w:szCs w:val="24"/>
        </w:rPr>
        <w:t>Sakari Karjalainen</w:t>
      </w:r>
      <w:r w:rsidR="002E6890">
        <w:rPr>
          <w:b/>
          <w:szCs w:val="24"/>
        </w:rPr>
        <w:t>, Pääsihteeri, Syöpäjärjestöt</w:t>
      </w:r>
    </w:p>
    <w:p w:rsidR="00F03855" w:rsidRDefault="00F03855" w:rsidP="009349FF">
      <w:pPr>
        <w:pStyle w:val="PlainText"/>
        <w:rPr>
          <w:b/>
          <w:szCs w:val="24"/>
        </w:rPr>
      </w:pPr>
    </w:p>
    <w:p w:rsidR="0038613E" w:rsidRDefault="0038613E" w:rsidP="009349FF">
      <w:pPr>
        <w:pStyle w:val="PlainText"/>
        <w:rPr>
          <w:b/>
          <w:szCs w:val="24"/>
        </w:rPr>
      </w:pPr>
    </w:p>
    <w:p w:rsidR="0038613E" w:rsidRDefault="0038613E" w:rsidP="009349FF">
      <w:pPr>
        <w:pStyle w:val="PlainText"/>
        <w:rPr>
          <w:b/>
          <w:szCs w:val="24"/>
        </w:rPr>
      </w:pPr>
    </w:p>
    <w:p w:rsidR="0038613E" w:rsidRDefault="0038613E" w:rsidP="009349FF">
      <w:pPr>
        <w:pStyle w:val="PlainText"/>
        <w:rPr>
          <w:b/>
          <w:szCs w:val="24"/>
        </w:rPr>
      </w:pPr>
    </w:p>
    <w:p w:rsidR="0038613E" w:rsidRDefault="0038613E" w:rsidP="009349FF">
      <w:pPr>
        <w:pStyle w:val="PlainText"/>
        <w:rPr>
          <w:b/>
          <w:szCs w:val="24"/>
        </w:rPr>
      </w:pPr>
    </w:p>
    <w:p w:rsidR="0038613E" w:rsidRDefault="0038613E" w:rsidP="009349FF">
      <w:pPr>
        <w:pStyle w:val="PlainText"/>
        <w:rPr>
          <w:b/>
          <w:szCs w:val="24"/>
        </w:rPr>
      </w:pPr>
    </w:p>
    <w:p w:rsidR="0038613E" w:rsidRDefault="0038613E" w:rsidP="009349FF">
      <w:pPr>
        <w:pStyle w:val="PlainText"/>
        <w:rPr>
          <w:b/>
          <w:szCs w:val="24"/>
        </w:rPr>
      </w:pPr>
    </w:p>
    <w:p w:rsidR="0038613E" w:rsidRDefault="0038613E" w:rsidP="009349FF">
      <w:pPr>
        <w:pStyle w:val="PlainText"/>
        <w:rPr>
          <w:b/>
          <w:szCs w:val="24"/>
        </w:rPr>
      </w:pPr>
    </w:p>
    <w:p w:rsidR="0038613E" w:rsidRDefault="0038613E" w:rsidP="009349FF">
      <w:pPr>
        <w:pStyle w:val="PlainText"/>
        <w:rPr>
          <w:b/>
          <w:szCs w:val="24"/>
        </w:rPr>
      </w:pPr>
      <w:r>
        <w:rPr>
          <w:szCs w:val="24"/>
        </w:rPr>
        <w:t>Tutkimuksen ovat rahoittaneet Lähi</w:t>
      </w:r>
      <w:r w:rsidR="006E1F4A">
        <w:rPr>
          <w:szCs w:val="24"/>
        </w:rPr>
        <w:t>T</w:t>
      </w:r>
      <w:r>
        <w:rPr>
          <w:szCs w:val="24"/>
        </w:rPr>
        <w:t>apiola sekä Syöpäsäätiö.</w:t>
      </w:r>
    </w:p>
    <w:p w:rsidR="00CC4FA5" w:rsidRDefault="00CC4FA5" w:rsidP="009349FF">
      <w:pPr>
        <w:pStyle w:val="PlainText"/>
        <w:rPr>
          <w:b/>
          <w:szCs w:val="24"/>
        </w:rPr>
      </w:pPr>
    </w:p>
    <w:p w:rsidR="00CC4FA5" w:rsidRDefault="00CC4FA5">
      <w:pPr>
        <w:rPr>
          <w:rFonts w:ascii="Calibri" w:hAnsi="Calibri"/>
          <w:b/>
          <w:szCs w:val="24"/>
        </w:rPr>
      </w:pPr>
      <w:r>
        <w:rPr>
          <w:b/>
          <w:szCs w:val="24"/>
        </w:rPr>
        <w:br w:type="page"/>
      </w:r>
    </w:p>
    <w:p w:rsidR="00F03855" w:rsidRPr="001626A4" w:rsidRDefault="00F03855" w:rsidP="001626A4">
      <w:pPr>
        <w:pStyle w:val="Heading1"/>
      </w:pPr>
      <w:r w:rsidRPr="001626A4">
        <w:lastRenderedPageBreak/>
        <w:t>Taustaa</w:t>
      </w:r>
    </w:p>
    <w:p w:rsidR="002E6890" w:rsidRDefault="00F03855" w:rsidP="00132BB2">
      <w:pPr>
        <w:rPr>
          <w:szCs w:val="24"/>
        </w:rPr>
      </w:pPr>
      <w:r w:rsidRPr="009349FF">
        <w:rPr>
          <w:szCs w:val="24"/>
        </w:rPr>
        <w:t>Syöpien määrä on kasvussa. Vuonna 2013 todettiin Suomessa 32 000 uutta tapausta, mikä on 20</w:t>
      </w:r>
      <w:r w:rsidR="000E3840">
        <w:rPr>
          <w:szCs w:val="24"/>
        </w:rPr>
        <w:t xml:space="preserve"> prosenttia</w:t>
      </w:r>
      <w:r w:rsidRPr="009349FF">
        <w:rPr>
          <w:szCs w:val="24"/>
        </w:rPr>
        <w:t xml:space="preserve"> enemmän kuin 10 vuotta aiemmin. Eri maantieteellisten alueiden välillä on eroja syövän </w:t>
      </w:r>
      <w:r w:rsidR="002E6890">
        <w:rPr>
          <w:szCs w:val="24"/>
        </w:rPr>
        <w:t>esiintyvyydessä</w:t>
      </w:r>
      <w:r w:rsidRPr="009349FF">
        <w:rPr>
          <w:szCs w:val="24"/>
        </w:rPr>
        <w:t xml:space="preserve"> ja kuolleisuudessa, </w:t>
      </w:r>
      <w:r w:rsidR="0038613E">
        <w:rPr>
          <w:szCs w:val="24"/>
        </w:rPr>
        <w:t>mutta</w:t>
      </w:r>
      <w:r w:rsidRPr="009349FF">
        <w:rPr>
          <w:szCs w:val="24"/>
        </w:rPr>
        <w:t xml:space="preserve"> </w:t>
      </w:r>
      <w:r w:rsidR="002E6890">
        <w:rPr>
          <w:szCs w:val="24"/>
        </w:rPr>
        <w:t>esiintyvyyden</w:t>
      </w:r>
      <w:r w:rsidRPr="009349FF">
        <w:rPr>
          <w:szCs w:val="24"/>
        </w:rPr>
        <w:t xml:space="preserve"> kasvua ennustetaan useimmissa maissa johtuen pääosin väestön ikääntymisestä (Ferlay ym. 2010, Møller</w:t>
      </w:r>
      <w:r w:rsidRPr="009349FF">
        <w:rPr>
          <w:color w:val="000000" w:themeColor="text1"/>
          <w:szCs w:val="24"/>
        </w:rPr>
        <w:t xml:space="preserve"> ym. 2007 ja Jönsson ym. 2007</w:t>
      </w:r>
      <w:r w:rsidRPr="009349FF">
        <w:rPr>
          <w:szCs w:val="24"/>
        </w:rPr>
        <w:t xml:space="preserve">). </w:t>
      </w:r>
      <w:r w:rsidR="001626A4" w:rsidRPr="009349FF">
        <w:rPr>
          <w:szCs w:val="24"/>
        </w:rPr>
        <w:t xml:space="preserve">Terveydenhuollon kustannuksista ja kustannuskehityksestä puhutaan julkisessa keskustelussa paljon. </w:t>
      </w:r>
    </w:p>
    <w:p w:rsidR="0038613E" w:rsidRDefault="0038613E" w:rsidP="00132BB2">
      <w:pPr>
        <w:rPr>
          <w:szCs w:val="24"/>
        </w:rPr>
      </w:pPr>
      <w:r>
        <w:rPr>
          <w:szCs w:val="24"/>
        </w:rPr>
        <w:t>Syövän aiheuttamia kustannuksia on tutkittu useassa tutkimuksessa (</w:t>
      </w:r>
      <w:r w:rsidRPr="009349FF">
        <w:rPr>
          <w:color w:val="000000" w:themeColor="text1"/>
          <w:szCs w:val="24"/>
        </w:rPr>
        <w:t>Warren ym. 2008</w:t>
      </w:r>
      <w:r>
        <w:rPr>
          <w:color w:val="000000" w:themeColor="text1"/>
          <w:szCs w:val="24"/>
        </w:rPr>
        <w:t xml:space="preserve">, </w:t>
      </w:r>
      <w:r w:rsidRPr="009349FF">
        <w:rPr>
          <w:color w:val="000000" w:themeColor="text1"/>
          <w:szCs w:val="24"/>
        </w:rPr>
        <w:t>Bradley ym. 2008</w:t>
      </w:r>
      <w:r>
        <w:rPr>
          <w:color w:val="000000" w:themeColor="text1"/>
          <w:szCs w:val="24"/>
        </w:rPr>
        <w:t xml:space="preserve">, </w:t>
      </w:r>
      <w:r w:rsidRPr="009349FF">
        <w:rPr>
          <w:color w:val="000000" w:themeColor="text1"/>
          <w:szCs w:val="24"/>
        </w:rPr>
        <w:t>Luengo-Frenandez ym. 2013, Mariotto ym. 2011, Jönsson ym. 2007, Sullivan ym. 2011</w:t>
      </w:r>
      <w:r>
        <w:rPr>
          <w:color w:val="000000" w:themeColor="text1"/>
          <w:szCs w:val="24"/>
        </w:rPr>
        <w:t xml:space="preserve">). </w:t>
      </w:r>
      <w:r>
        <w:rPr>
          <w:szCs w:val="24"/>
        </w:rPr>
        <w:t>S</w:t>
      </w:r>
      <w:r w:rsidR="001626A4" w:rsidRPr="009349FF">
        <w:rPr>
          <w:szCs w:val="24"/>
        </w:rPr>
        <w:t>yövän aiheuttamissa kustannuksissa on sekä suuria eroja maiden välillä, myös Euroopan sisällä (Luengo-Fernandez ym. 2013)</w:t>
      </w:r>
      <w:r>
        <w:rPr>
          <w:szCs w:val="24"/>
        </w:rPr>
        <w:t>,</w:t>
      </w:r>
      <w:r w:rsidR="001626A4" w:rsidRPr="009349FF">
        <w:rPr>
          <w:szCs w:val="24"/>
        </w:rPr>
        <w:t xml:space="preserve"> että vahva kasvutaipumus (Sullivan ym. 2011). Potilaiden määrän kasvu ja uusien hoitomenetelmien kehittäminen vaikuttavat siihen, että kustannuspaineita on jatkossakin. Syöpä aiheuttaa suoria hoitokustannuksia, suoria muita kustannuksia, kuten matkakustannuksia, sekä epäsuoria kustannuksia, kuten menetettyä tuottavuutta (Francisci ym. 2013). Epäsuorien kustannusten arvioidaan olevan suuremmat kuin suorat kustannukset (Jönsson ym. 2007). </w:t>
      </w:r>
      <w:r>
        <w:rPr>
          <w:szCs w:val="24"/>
        </w:rPr>
        <w:t>Kustannusten laskutapa</w:t>
      </w:r>
      <w:r w:rsidR="000E3840">
        <w:rPr>
          <w:szCs w:val="24"/>
        </w:rPr>
        <w:t xml:space="preserve">  </w:t>
      </w:r>
      <w:r>
        <w:rPr>
          <w:szCs w:val="24"/>
        </w:rPr>
        <w:t xml:space="preserve">kuitenkin vaihtelee tutkimusten välillä johtuen erilaisesta tilastoinnista ja datan saatavuudesta eri maissa, joten suora vertailu on haastavaa. </w:t>
      </w:r>
    </w:p>
    <w:p w:rsidR="00132BB2" w:rsidRDefault="0038613E" w:rsidP="00132BB2">
      <w:pPr>
        <w:rPr>
          <w:szCs w:val="24"/>
        </w:rPr>
      </w:pPr>
      <w:r>
        <w:rPr>
          <w:szCs w:val="24"/>
        </w:rPr>
        <w:t>Syövän aiheuttamien kustannusten muutosta yli ajan on tutkittu huomattavasti vähemmän kuin kustannuksia tietyllä ajanhetkellä</w:t>
      </w:r>
      <w:r w:rsidR="00E5731D">
        <w:rPr>
          <w:szCs w:val="24"/>
        </w:rPr>
        <w:t xml:space="preserve">, mutta joitain tutkimuksia USA:sta ja Euroopasta on olemassa (Tangka ym. 2010, NHS England 2013, </w:t>
      </w:r>
      <w:r w:rsidR="00E5731D" w:rsidRPr="00E5731D">
        <w:rPr>
          <w:szCs w:val="24"/>
        </w:rPr>
        <w:t>Ministerie van Volksgezondheid, Welzijn en Sport 2011</w:t>
      </w:r>
      <w:r w:rsidR="00E5731D">
        <w:rPr>
          <w:szCs w:val="24"/>
        </w:rPr>
        <w:t>)</w:t>
      </w:r>
      <w:r>
        <w:rPr>
          <w:szCs w:val="24"/>
        </w:rPr>
        <w:t xml:space="preserve">. </w:t>
      </w:r>
      <w:r w:rsidR="00E5731D">
        <w:rPr>
          <w:szCs w:val="24"/>
        </w:rPr>
        <w:t xml:space="preserve">Lisäksi on joitain tutkimuksia, joissa on </w:t>
      </w:r>
      <w:r>
        <w:rPr>
          <w:szCs w:val="24"/>
        </w:rPr>
        <w:t>tehty ennusteita tulevasta kehityksestä</w:t>
      </w:r>
      <w:r w:rsidR="00E5731D">
        <w:rPr>
          <w:szCs w:val="24"/>
        </w:rPr>
        <w:t xml:space="preserve"> (</w:t>
      </w:r>
      <w:r w:rsidR="00E5731D" w:rsidRPr="00E5731D">
        <w:rPr>
          <w:szCs w:val="24"/>
        </w:rPr>
        <w:t>Institutet för Hälso- och Sjukvårdsekonomi 2016</w:t>
      </w:r>
      <w:r w:rsidR="00E5731D">
        <w:rPr>
          <w:szCs w:val="24"/>
        </w:rPr>
        <w:t xml:space="preserve">, </w:t>
      </w:r>
      <w:r w:rsidR="00E5731D" w:rsidRPr="00E5731D">
        <w:rPr>
          <w:szCs w:val="24"/>
        </w:rPr>
        <w:t>Mariotto et al. 2011</w:t>
      </w:r>
      <w:r w:rsidR="00E5731D">
        <w:rPr>
          <w:szCs w:val="24"/>
        </w:rPr>
        <w:t>)</w:t>
      </w:r>
      <w:r>
        <w:rPr>
          <w:szCs w:val="24"/>
        </w:rPr>
        <w:t xml:space="preserve">. </w:t>
      </w:r>
    </w:p>
    <w:p w:rsidR="0038613E" w:rsidRDefault="002E6890" w:rsidP="00132BB2">
      <w:pPr>
        <w:rPr>
          <w:szCs w:val="24"/>
        </w:rPr>
      </w:pPr>
      <w:r>
        <w:rPr>
          <w:szCs w:val="24"/>
        </w:rPr>
        <w:t xml:space="preserve">Tutkimuksen taustalla on 2006 tehty tutkimus syövän aiheuttamista kustannuksista </w:t>
      </w:r>
      <w:r w:rsidR="0038613E">
        <w:rPr>
          <w:szCs w:val="24"/>
        </w:rPr>
        <w:t xml:space="preserve">Suomessa </w:t>
      </w:r>
      <w:r>
        <w:rPr>
          <w:szCs w:val="24"/>
        </w:rPr>
        <w:t xml:space="preserve">sekä ennusteista vuodelle 2015 (Mäklin ja Rissanen 2006). </w:t>
      </w:r>
      <w:r w:rsidR="0038613E">
        <w:rPr>
          <w:szCs w:val="24"/>
        </w:rPr>
        <w:t>Tämän tutkimuksen tavoitteena oli verrata toteutunutta kustannuskehitystä aiemmassa tutkimuksessa ennustettuun ja tehdä uudet ennusteet vuoteen 2025. Tutkimuksessa on kerätty tietoa THL:n, KELA:n, Eläketurvakeskuksen, Syöpärekisterin, Helsingin ja Uudenmaan sairaanhoitopiirin sekä Keski-Suomen sairaanhoitopiirin tietokannoista. Erona Mäklinin ja Rissasen (2006) tutkimukseen tässä tutkimuksessa k</w:t>
      </w:r>
      <w:r>
        <w:rPr>
          <w:szCs w:val="24"/>
        </w:rPr>
        <w:t xml:space="preserve">ustannusten ohella on tarkasteltu </w:t>
      </w:r>
      <w:r w:rsidR="0038613E">
        <w:rPr>
          <w:szCs w:val="24"/>
        </w:rPr>
        <w:t xml:space="preserve">myös </w:t>
      </w:r>
      <w:r>
        <w:rPr>
          <w:szCs w:val="24"/>
        </w:rPr>
        <w:t xml:space="preserve">vaikuttavuuden kehittymistä kansallisista rekistereistä saatavien tietojen </w:t>
      </w:r>
      <w:r w:rsidR="0038613E">
        <w:rPr>
          <w:szCs w:val="24"/>
        </w:rPr>
        <w:t>perusteella</w:t>
      </w:r>
      <w:r>
        <w:rPr>
          <w:szCs w:val="24"/>
        </w:rPr>
        <w:t>.</w:t>
      </w:r>
      <w:r w:rsidR="00A44C6D">
        <w:rPr>
          <w:szCs w:val="24"/>
        </w:rPr>
        <w:t xml:space="preserve"> </w:t>
      </w:r>
    </w:p>
    <w:p w:rsidR="002E6890" w:rsidRDefault="00A44C6D" w:rsidP="00132BB2">
      <w:pPr>
        <w:rPr>
          <w:szCs w:val="24"/>
        </w:rPr>
      </w:pPr>
      <w:r>
        <w:rPr>
          <w:szCs w:val="24"/>
        </w:rPr>
        <w:t>Tämä raportti on suomenkielinen versio Acta Oncologicassa 7/2017 julkaistusta artikkelista. Vuoden 2017 aikana on tarkoitus julkaista vielä toinen artikkeli ja raportti syöpätyyppikohtaisista kustannuksista.</w:t>
      </w:r>
    </w:p>
    <w:p w:rsidR="00C33DCB" w:rsidRDefault="00C33DCB" w:rsidP="00132BB2">
      <w:pPr>
        <w:rPr>
          <w:szCs w:val="24"/>
        </w:rPr>
      </w:pPr>
      <w:r>
        <w:rPr>
          <w:szCs w:val="24"/>
        </w:rPr>
        <w:t>Tutkimuksen on tilannut Syöpäsäätiö.</w:t>
      </w:r>
    </w:p>
    <w:p w:rsidR="00EC6769" w:rsidRPr="00B83796" w:rsidRDefault="00EC6769" w:rsidP="00132BB2">
      <w:pPr>
        <w:rPr>
          <w:szCs w:val="24"/>
        </w:rPr>
      </w:pPr>
      <w:r w:rsidRPr="00B83796">
        <w:rPr>
          <w:szCs w:val="24"/>
        </w:rPr>
        <w:t xml:space="preserve">Alkuperäisjulkaisu: </w:t>
      </w:r>
    </w:p>
    <w:p w:rsidR="00EC6769" w:rsidRPr="0038613E" w:rsidRDefault="00EC6769" w:rsidP="00132BB2">
      <w:pPr>
        <w:rPr>
          <w:szCs w:val="24"/>
        </w:rPr>
      </w:pPr>
      <w:r w:rsidRPr="00EC6769">
        <w:rPr>
          <w:szCs w:val="24"/>
          <w:lang w:val="en-US"/>
        </w:rPr>
        <w:t xml:space="preserve">Torkki P, Leskelä RL, Linna M, Mäklin S, Mecklin JP, Bono P, Kataja V, Karjalainen S. </w:t>
      </w:r>
      <w:r w:rsidRPr="00EC6769">
        <w:rPr>
          <w:lang w:val="en-US"/>
        </w:rPr>
        <w:t>Cancer costs and outcomes in the Finnish population 2004–2014</w:t>
      </w:r>
      <w:r>
        <w:rPr>
          <w:lang w:val="en-US"/>
        </w:rPr>
        <w:t xml:space="preserve">. </w:t>
      </w:r>
      <w:r w:rsidRPr="0038613E">
        <w:t>Acta Oncologica 2017. DOI: 10.1080/0284186X.2017.1343495</w:t>
      </w:r>
    </w:p>
    <w:p w:rsidR="00EC6769" w:rsidRPr="0038613E" w:rsidRDefault="00EC6769">
      <w:pPr>
        <w:spacing w:line="259" w:lineRule="auto"/>
        <w:jc w:val="left"/>
      </w:pPr>
      <w:r w:rsidRPr="0038613E">
        <w:br w:type="page"/>
      </w:r>
    </w:p>
    <w:p w:rsidR="00BF43AA" w:rsidRDefault="00132BB2" w:rsidP="001626A4">
      <w:pPr>
        <w:pStyle w:val="Heading1"/>
      </w:pPr>
      <w:r>
        <w:lastRenderedPageBreak/>
        <w:t>Menetelmät</w:t>
      </w:r>
    </w:p>
    <w:p w:rsidR="00871E68" w:rsidRDefault="00871E68" w:rsidP="00871E68">
      <w:pPr>
        <w:pStyle w:val="Heading2"/>
      </w:pPr>
      <w:r>
        <w:t>Kustannusanalyysi</w:t>
      </w:r>
    </w:p>
    <w:p w:rsidR="00871E68" w:rsidRDefault="00871E68" w:rsidP="00871E68">
      <w:r>
        <w:t>Sairauden kustannusten (</w:t>
      </w:r>
      <w:r w:rsidRPr="0048406A">
        <w:rPr>
          <w:i/>
        </w:rPr>
        <w:t>cost of illness</w:t>
      </w:r>
      <w:r>
        <w:t xml:space="preserve">) laskennassa huomioidaan tyypillisesti kolmenlaisia kustannuksia: suorat terveydenhoitokustannukset, tuottavuuskustannukset ja potilaalle aiheutuvat kustannukset (Drummond ym. 1997). Kustannuksia voidaan laskea joko poikkileikkauksena vuosittain, jolloin tuotetaan tietoa suhteessa sairauden prevalenssiin, tai summana potilaiden kustannuksista koko elinkaaren aikana, jolloin tuotetaan tietoa suhteessa insidenssiin (Brown ym. 1996). </w:t>
      </w:r>
    </w:p>
    <w:p w:rsidR="00871E68" w:rsidRDefault="00871E68" w:rsidP="00871E68">
      <w:r>
        <w:t xml:space="preserve">Kustannusten laskenta </w:t>
      </w:r>
      <w:r w:rsidRPr="009349FF">
        <w:t xml:space="preserve">perustuu </w:t>
      </w:r>
      <w:r>
        <w:t>Mäklinin ja Rissasen</w:t>
      </w:r>
      <w:r w:rsidRPr="009349FF">
        <w:t xml:space="preserve"> (2006) käyttämään menetelmään, </w:t>
      </w:r>
      <w:r>
        <w:t>jossa syövän vuosittaisiksi kustannuksiksi huomioitiin suorat terveydenhoitokustannukset sekä tuottavuuskustannuksista sairauspoissaolojen ja työkyvyttömyyseläkkeiden kustannukset. Ennenaikaisten kuolemien kustannuksia ei otettu huomioon eikä omaisten tekemän epäsuoran työn kustannuksia</w:t>
      </w:r>
      <w:r w:rsidRPr="009349FF">
        <w:t xml:space="preserve">. </w:t>
      </w:r>
      <w:r>
        <w:t xml:space="preserve">Kuolleisuudesta tai työkyvyttömyydestä aiheutuvien epäsuorien kustannusten arviointi on osoittautunut ongelmalliseksi, koska mallit ovat teoreettisia, eivätkä välttämättä käyttäydy todellisessa systeemissä samalla tavoin kuin laskennallisesti (Brown </w:t>
      </w:r>
      <w:r w:rsidR="00B247F5">
        <w:t>ym.</w:t>
      </w:r>
      <w:r>
        <w:t xml:space="preserve"> 2001)</w:t>
      </w:r>
      <w:r w:rsidR="002031F9">
        <w:t>.</w:t>
      </w:r>
      <w:r w:rsidRPr="009349FF">
        <w:t xml:space="preserve"> </w:t>
      </w:r>
      <w:r>
        <w:t>Potilaille koituvia kustannuksia huomioitiin sisällyttämällä suoriin terveydenhuoltokustannuksiin asiakasmaksut ja omavastuut sekä arvioimalla matkakustannusten suuruutta. Verrattuna Mäklinin ja Rissasen (2006) tutkimukseen r</w:t>
      </w:r>
      <w:r w:rsidRPr="009349FF">
        <w:t xml:space="preserve">ekisterien kattavuus on parantunut </w:t>
      </w:r>
      <w:r>
        <w:t>viime vuosina etenkin avopalveluissa.</w:t>
      </w:r>
      <w:r w:rsidRPr="009349FF">
        <w:t xml:space="preserve"> </w:t>
      </w:r>
      <w:r>
        <w:t>M</w:t>
      </w:r>
      <w:r w:rsidRPr="009349FF">
        <w:t xml:space="preserve">allinnuksen pohjaksi </w:t>
      </w:r>
      <w:r>
        <w:t>saatiin</w:t>
      </w:r>
      <w:r w:rsidRPr="009349FF">
        <w:t xml:space="preserve"> erikoissairaanhoidon todelliset käyntimäärät koko maasta</w:t>
      </w:r>
      <w:r>
        <w:t xml:space="preserve"> sekä perusterveydenhuollon avokäyntien määrästä. Perusterveydenhuollon avokäynneissä on yhä puutteita diagnoosikirjauksissa, joten avokäynnit skaalattiin oletuksella, että puuttuvat diagnoosit jakautuvat tasan kaikille diagnoosiryhmille.</w:t>
      </w:r>
      <w:r w:rsidR="007570F7">
        <w:t xml:space="preserve"> Verrattaessa nykykustannuksia Mäklinin ja Rissasen tutkimuksen ennusteisiin käytettiin ainoastaan vertailukelpoisia kustannuseriä kultakin vuodelta.</w:t>
      </w:r>
    </w:p>
    <w:p w:rsidR="00871E68" w:rsidRDefault="00871E68" w:rsidP="00871E68">
      <w:r>
        <w:t>Hoidon kustannukset laskettiin kertomalla hoitopäivien ja käyntien lukumäärät keskimääräisillä yksikkökustannuksilla. Yksikkökustannusten perustana käytettiin Kapiainen ym. (2014) raporttia Terveyden- ja sosiaalihuollon yksikkökustannukset Suomessa vuonna 2011. Erikoissairaanhoidon vuosittaisten yksikkökustannusten muutosten arviointiin 2009</w:t>
      </w:r>
      <w:r w:rsidR="005D03FE">
        <w:t>–</w:t>
      </w:r>
      <w:r>
        <w:t xml:space="preserve">2014 käytettiin Helsingin ja Uudenmaan sekä Keski-Suomen sairaanhoitopiirin kustannus per potilas -aineistoja. </w:t>
      </w:r>
      <w:r>
        <w:rPr>
          <w:szCs w:val="24"/>
        </w:rPr>
        <w:t>Perusterveydenhuollon osalta vuosien 2009</w:t>
      </w:r>
      <w:r w:rsidR="005D03FE">
        <w:rPr>
          <w:szCs w:val="24"/>
        </w:rPr>
        <w:t>–</w:t>
      </w:r>
      <w:r>
        <w:rPr>
          <w:szCs w:val="24"/>
        </w:rPr>
        <w:t>2014 kustannuksien laskemiseen käytettiin Tilastokeskuksen tilastoimaa julkisen sosiaali- ja terveystoimen hintaindeksiä.</w:t>
      </w:r>
      <w:r>
        <w:t xml:space="preserve"> Hoitopäivä- ja käyntikustannuksiin sisältyy kaikki sairaalan kustannukset, kuten esim. henkilöstö-, lääke, laite- ja materiaalikustannukset.</w:t>
      </w:r>
    </w:p>
    <w:p w:rsidR="00871E68" w:rsidRDefault="002E6890" w:rsidP="00871E68">
      <w:pPr>
        <w:rPr>
          <w:szCs w:val="24"/>
        </w:rPr>
      </w:pPr>
      <w:r>
        <w:rPr>
          <w:szCs w:val="24"/>
        </w:rPr>
        <w:t>H</w:t>
      </w:r>
      <w:r w:rsidR="00871E68">
        <w:rPr>
          <w:szCs w:val="24"/>
        </w:rPr>
        <w:t>intatason muutoksen huomioimisessa käytettiin Tilastokeskuksen yleistä kuluttajahintaindeksiä</w:t>
      </w:r>
      <w:r>
        <w:rPr>
          <w:szCs w:val="24"/>
        </w:rPr>
        <w:t xml:space="preserve"> arvioitaessa syövän aiheuttamien kustannusten reaalista muutosta</w:t>
      </w:r>
      <w:r w:rsidR="00871E68">
        <w:rPr>
          <w:szCs w:val="24"/>
        </w:rPr>
        <w:t>.</w:t>
      </w:r>
    </w:p>
    <w:p w:rsidR="00747222" w:rsidRDefault="00747222" w:rsidP="00747222">
      <w:pPr>
        <w:rPr>
          <w:szCs w:val="24"/>
        </w:rPr>
      </w:pPr>
      <w:r>
        <w:rPr>
          <w:szCs w:val="24"/>
        </w:rPr>
        <w:t>Kustannusten ennustamisessa käytettiin kolmea mallia. Ensimmäisessä kustannusten kasvua ennustettiin pelkästään potilasmääräennusteiden pohjalta olettaen, että kustannus per potilas pysyy vakiona. Toisessa mallissa tehtiin regressiomalli vuosien 2004</w:t>
      </w:r>
      <w:r w:rsidR="005D03FE">
        <w:rPr>
          <w:szCs w:val="24"/>
        </w:rPr>
        <w:t>–</w:t>
      </w:r>
      <w:r>
        <w:rPr>
          <w:szCs w:val="24"/>
        </w:rPr>
        <w:t>2014 toteutuneen kustannuskehityksen pohjalta. Kolmas malli oli vastaava regressiomalli, mutta siinä huomioitiin vain 2009</w:t>
      </w:r>
      <w:r w:rsidR="005D03FE">
        <w:rPr>
          <w:szCs w:val="24"/>
        </w:rPr>
        <w:t>–</w:t>
      </w:r>
      <w:r>
        <w:rPr>
          <w:szCs w:val="24"/>
        </w:rPr>
        <w:t>2014 tapahtunut kustannuskehitys. Lisäksi tehtiin regressiomalli kunkin kustannuserän kohdalta erikseen 2009</w:t>
      </w:r>
      <w:r w:rsidR="005D03FE">
        <w:rPr>
          <w:szCs w:val="24"/>
        </w:rPr>
        <w:t>–</w:t>
      </w:r>
      <w:r>
        <w:rPr>
          <w:szCs w:val="24"/>
        </w:rPr>
        <w:t>2014, jonka pohjalta laskettiin ennakoitu kustannusrakenne 2025.</w:t>
      </w:r>
    </w:p>
    <w:p w:rsidR="00747222" w:rsidRDefault="00747222" w:rsidP="00747222">
      <w:pPr>
        <w:rPr>
          <w:szCs w:val="24"/>
        </w:rPr>
      </w:pPr>
      <w:r>
        <w:rPr>
          <w:szCs w:val="24"/>
        </w:rPr>
        <w:t>Hoidon vaikuttavuutta arvioitiin suhteellisen eloonjäämisluvun, ikävakioidun kuolleisuuden, uusien työkyvyttömyyseläkkeiden sekä sairaspoissaolopäivien osalta. Syöpä</w:t>
      </w:r>
      <w:r w:rsidRPr="00BC271F">
        <w:rPr>
          <w:szCs w:val="24"/>
        </w:rPr>
        <w:t>taudeista parantumisen ep</w:t>
      </w:r>
      <w:r>
        <w:rPr>
          <w:szCs w:val="24"/>
        </w:rPr>
        <w:t>ä</w:t>
      </w:r>
      <w:r w:rsidRPr="00BC271F">
        <w:rPr>
          <w:szCs w:val="24"/>
        </w:rPr>
        <w:t>suorana mittarina k</w:t>
      </w:r>
      <w:r>
        <w:rPr>
          <w:szCs w:val="24"/>
        </w:rPr>
        <w:t>ä</w:t>
      </w:r>
      <w:r w:rsidRPr="00BC271F">
        <w:rPr>
          <w:szCs w:val="24"/>
        </w:rPr>
        <w:t>ytet</w:t>
      </w:r>
      <w:r>
        <w:rPr>
          <w:szCs w:val="24"/>
        </w:rPr>
        <w:t>ää</w:t>
      </w:r>
      <w:r w:rsidRPr="00BC271F">
        <w:rPr>
          <w:szCs w:val="24"/>
        </w:rPr>
        <w:t xml:space="preserve">n suhteellista elossaololukua. Se ilmaisee, kuinka suuri osa </w:t>
      </w:r>
      <w:r w:rsidRPr="00BC271F">
        <w:rPr>
          <w:szCs w:val="24"/>
        </w:rPr>
        <w:lastRenderedPageBreak/>
        <w:t>sy</w:t>
      </w:r>
      <w:r>
        <w:rPr>
          <w:szCs w:val="24"/>
        </w:rPr>
        <w:t>ö</w:t>
      </w:r>
      <w:r w:rsidRPr="00BC271F">
        <w:rPr>
          <w:szCs w:val="24"/>
        </w:rPr>
        <w:t>p</w:t>
      </w:r>
      <w:r>
        <w:rPr>
          <w:szCs w:val="24"/>
        </w:rPr>
        <w:t>ä</w:t>
      </w:r>
      <w:r w:rsidRPr="00BC271F">
        <w:rPr>
          <w:szCs w:val="24"/>
        </w:rPr>
        <w:t>potilaista</w:t>
      </w:r>
      <w:r>
        <w:rPr>
          <w:szCs w:val="24"/>
        </w:rPr>
        <w:t xml:space="preserve"> </w:t>
      </w:r>
      <w:r w:rsidRPr="00BC271F">
        <w:rPr>
          <w:szCs w:val="24"/>
        </w:rPr>
        <w:t>el</w:t>
      </w:r>
      <w:r>
        <w:rPr>
          <w:szCs w:val="24"/>
        </w:rPr>
        <w:t>ää</w:t>
      </w:r>
      <w:r w:rsidRPr="00BC271F">
        <w:rPr>
          <w:szCs w:val="24"/>
        </w:rPr>
        <w:t xml:space="preserve"> tietyn ajan (esim. yhden vuoden tai viisi vuotta) sy</w:t>
      </w:r>
      <w:r>
        <w:rPr>
          <w:szCs w:val="24"/>
        </w:rPr>
        <w:t>ö</w:t>
      </w:r>
      <w:r w:rsidRPr="00BC271F">
        <w:rPr>
          <w:szCs w:val="24"/>
        </w:rPr>
        <w:t>v</w:t>
      </w:r>
      <w:r>
        <w:rPr>
          <w:szCs w:val="24"/>
        </w:rPr>
        <w:t>ä</w:t>
      </w:r>
      <w:r w:rsidRPr="00BC271F">
        <w:rPr>
          <w:szCs w:val="24"/>
        </w:rPr>
        <w:t>n toteamisesta verrattuna siihen, kuinka suuri osa samanik</w:t>
      </w:r>
      <w:r>
        <w:rPr>
          <w:szCs w:val="24"/>
        </w:rPr>
        <w:t>ä</w:t>
      </w:r>
      <w:r w:rsidRPr="00BC271F">
        <w:rPr>
          <w:szCs w:val="24"/>
        </w:rPr>
        <w:t>isest</w:t>
      </w:r>
      <w:r>
        <w:rPr>
          <w:szCs w:val="24"/>
        </w:rPr>
        <w:t>ä</w:t>
      </w:r>
      <w:r w:rsidRPr="00BC271F">
        <w:rPr>
          <w:szCs w:val="24"/>
        </w:rPr>
        <w:t xml:space="preserve"> v</w:t>
      </w:r>
      <w:r>
        <w:rPr>
          <w:szCs w:val="24"/>
        </w:rPr>
        <w:t>ä</w:t>
      </w:r>
      <w:r w:rsidRPr="00BC271F">
        <w:rPr>
          <w:szCs w:val="24"/>
        </w:rPr>
        <w:t>est</w:t>
      </w:r>
      <w:r>
        <w:rPr>
          <w:szCs w:val="24"/>
        </w:rPr>
        <w:t>ö</w:t>
      </w:r>
      <w:r w:rsidRPr="00BC271F">
        <w:rPr>
          <w:szCs w:val="24"/>
        </w:rPr>
        <w:t>st</w:t>
      </w:r>
      <w:r>
        <w:rPr>
          <w:szCs w:val="24"/>
        </w:rPr>
        <w:t xml:space="preserve">ä </w:t>
      </w:r>
      <w:r w:rsidRPr="00BC271F">
        <w:rPr>
          <w:szCs w:val="24"/>
        </w:rPr>
        <w:t>el</w:t>
      </w:r>
      <w:r>
        <w:rPr>
          <w:szCs w:val="24"/>
        </w:rPr>
        <w:t>ää</w:t>
      </w:r>
      <w:r w:rsidRPr="00BC271F">
        <w:rPr>
          <w:szCs w:val="24"/>
        </w:rPr>
        <w:t xml:space="preserve"> kyseisen ajan. Suhteellinen elossaololuku on tulkittavissa elossaolotodenn</w:t>
      </w:r>
      <w:r>
        <w:rPr>
          <w:szCs w:val="24"/>
        </w:rPr>
        <w:t>ä</w:t>
      </w:r>
      <w:r w:rsidRPr="00BC271F">
        <w:rPr>
          <w:szCs w:val="24"/>
        </w:rPr>
        <w:t>k</w:t>
      </w:r>
      <w:r>
        <w:rPr>
          <w:szCs w:val="24"/>
        </w:rPr>
        <w:t>ö</w:t>
      </w:r>
      <w:r w:rsidRPr="00BC271F">
        <w:rPr>
          <w:szCs w:val="24"/>
        </w:rPr>
        <w:t>isyyden arvioksi tilanteessa, jossa potilaiden sairastama</w:t>
      </w:r>
      <w:r>
        <w:rPr>
          <w:szCs w:val="24"/>
        </w:rPr>
        <w:t xml:space="preserve"> </w:t>
      </w:r>
      <w:r w:rsidRPr="00BC271F">
        <w:rPr>
          <w:szCs w:val="24"/>
        </w:rPr>
        <w:t>sy</w:t>
      </w:r>
      <w:r>
        <w:rPr>
          <w:szCs w:val="24"/>
        </w:rPr>
        <w:t>ö</w:t>
      </w:r>
      <w:r w:rsidRPr="00BC271F">
        <w:rPr>
          <w:szCs w:val="24"/>
        </w:rPr>
        <w:t>p</w:t>
      </w:r>
      <w:r>
        <w:rPr>
          <w:szCs w:val="24"/>
        </w:rPr>
        <w:t>ä</w:t>
      </w:r>
      <w:r w:rsidRPr="00BC271F">
        <w:rPr>
          <w:szCs w:val="24"/>
        </w:rPr>
        <w:t xml:space="preserve"> on ainoa mahdollinen kuolemansyy</w:t>
      </w:r>
      <w:r>
        <w:rPr>
          <w:szCs w:val="24"/>
        </w:rPr>
        <w:t>. (Suomen Syöpärekisteri 2016)</w:t>
      </w:r>
    </w:p>
    <w:p w:rsidR="00747222" w:rsidRDefault="00747222" w:rsidP="00747222">
      <w:pPr>
        <w:rPr>
          <w:szCs w:val="24"/>
        </w:rPr>
      </w:pPr>
      <w:r>
        <w:rPr>
          <w:szCs w:val="24"/>
        </w:rPr>
        <w:t>Suhteellisen eloonjäämisluvun ohella tarkasteltiin myös ikävakioitua kuolleisuutta, koska syöpäpotilaiden määrä on kasvanut vuosittain ja osittain kasvu myös kehittyneeseen diagnostiikkaan. Syöpä havaitaan aikaisemmin ja osittain jopa useammin kuin aikaisemmin, jolloin nämä tekijät saattavat kasvattaa lyhyen aikavälin suhteellista eloonjäämislukua, vaikka pidemmällä aikavälillä eloonjäämisluvut eivät muuttuisikaan verrannollisissa tapauksissa. Suhteelliset eloonjäämisluvut ja ikävakioitu kuolleisuus saatiin Suomen Syöpärekisterin tilastoista.</w:t>
      </w:r>
    </w:p>
    <w:p w:rsidR="00747222" w:rsidRDefault="00747222" w:rsidP="00747222">
      <w:pPr>
        <w:rPr>
          <w:szCs w:val="24"/>
        </w:rPr>
      </w:pPr>
      <w:r>
        <w:rPr>
          <w:szCs w:val="24"/>
        </w:rPr>
        <w:t>Tutkimuksessa tarkasteltiin lisäksi syövästä aiheutuvaa työkyvyttömyyttä. Työkyvyttömyys antaa viitteitä työikäisten potilaiden toimintakyvystä. Työkyvyttömyyttä tarkasteltiin sekä sairaspoissaolopäivinä että uusina työkyvyttömyyseläkepäätöksinä työikäistä syöpäpotilasta kohti. Työkyvyttömyystiedot saatiin KELA:n tilastoista.</w:t>
      </w:r>
    </w:p>
    <w:p w:rsidR="00747222" w:rsidRPr="00871E68" w:rsidRDefault="00747222" w:rsidP="00747222">
      <w:pPr>
        <w:rPr>
          <w:szCs w:val="24"/>
        </w:rPr>
      </w:pPr>
    </w:p>
    <w:p w:rsidR="00AD437E" w:rsidRDefault="00AD437E" w:rsidP="00AD437E">
      <w:pPr>
        <w:pStyle w:val="Heading2"/>
      </w:pPr>
      <w:r>
        <w:t>Tietolähteet</w:t>
      </w:r>
    </w:p>
    <w:p w:rsidR="00BC271F" w:rsidRPr="00BC271F" w:rsidRDefault="00BC271F" w:rsidP="00BC271F">
      <w:r>
        <w:t>Taulukossa 1 on esitetty laskelmissa huomioidut kustannuserät ja niihin liittyvät tietolähteet.</w:t>
      </w:r>
    </w:p>
    <w:p w:rsidR="00B3142C" w:rsidRPr="009349FF" w:rsidRDefault="00B3142C" w:rsidP="00B3142C">
      <w:pPr>
        <w:pStyle w:val="Caption"/>
        <w:keepNext/>
        <w:rPr>
          <w:sz w:val="24"/>
          <w:szCs w:val="24"/>
        </w:rPr>
      </w:pPr>
      <w:r w:rsidRPr="009349FF">
        <w:rPr>
          <w:sz w:val="24"/>
          <w:szCs w:val="24"/>
        </w:rPr>
        <w:t xml:space="preserve">Taulukko </w:t>
      </w:r>
      <w:r w:rsidRPr="009349FF">
        <w:rPr>
          <w:sz w:val="24"/>
          <w:szCs w:val="24"/>
        </w:rPr>
        <w:fldChar w:fldCharType="begin"/>
      </w:r>
      <w:r w:rsidRPr="009349FF">
        <w:rPr>
          <w:sz w:val="24"/>
          <w:szCs w:val="24"/>
        </w:rPr>
        <w:instrText xml:space="preserve"> SEQ Taulukko \* ARABIC </w:instrText>
      </w:r>
      <w:r w:rsidRPr="009349FF">
        <w:rPr>
          <w:sz w:val="24"/>
          <w:szCs w:val="24"/>
        </w:rPr>
        <w:fldChar w:fldCharType="separate"/>
      </w:r>
      <w:r>
        <w:rPr>
          <w:noProof/>
          <w:sz w:val="24"/>
          <w:szCs w:val="24"/>
        </w:rPr>
        <w:t>1</w:t>
      </w:r>
      <w:r w:rsidRPr="009349FF">
        <w:rPr>
          <w:noProof/>
          <w:sz w:val="24"/>
          <w:szCs w:val="24"/>
        </w:rPr>
        <w:fldChar w:fldCharType="end"/>
      </w:r>
      <w:r>
        <w:rPr>
          <w:sz w:val="24"/>
          <w:szCs w:val="24"/>
        </w:rPr>
        <w:t>. Kerätyt</w:t>
      </w:r>
      <w:r w:rsidRPr="009349FF">
        <w:rPr>
          <w:sz w:val="24"/>
          <w:szCs w:val="24"/>
        </w:rPr>
        <w:t xml:space="preserve"> </w:t>
      </w:r>
      <w:r>
        <w:rPr>
          <w:sz w:val="24"/>
          <w:szCs w:val="24"/>
        </w:rPr>
        <w:t xml:space="preserve">suorite- ja </w:t>
      </w:r>
      <w:r w:rsidRPr="009349FF">
        <w:rPr>
          <w:sz w:val="24"/>
          <w:szCs w:val="24"/>
        </w:rPr>
        <w:t>kustannustiedot ja niiden lähteet</w:t>
      </w:r>
    </w:p>
    <w:tbl>
      <w:tblPr>
        <w:tblStyle w:val="TableGrid"/>
        <w:tblW w:w="0" w:type="auto"/>
        <w:tblLook w:val="04A0" w:firstRow="1" w:lastRow="0" w:firstColumn="1" w:lastColumn="0" w:noHBand="0" w:noVBand="1"/>
      </w:tblPr>
      <w:tblGrid>
        <w:gridCol w:w="3964"/>
        <w:gridCol w:w="5664"/>
      </w:tblGrid>
      <w:tr w:rsidR="00B3142C" w:rsidRPr="009349FF" w:rsidTr="005D03FE">
        <w:tc>
          <w:tcPr>
            <w:tcW w:w="3964" w:type="dxa"/>
          </w:tcPr>
          <w:p w:rsidR="00B3142C" w:rsidRPr="009349FF" w:rsidRDefault="00B3142C" w:rsidP="005D03FE">
            <w:pPr>
              <w:rPr>
                <w:b/>
                <w:szCs w:val="24"/>
              </w:rPr>
            </w:pPr>
            <w:r w:rsidRPr="009349FF">
              <w:rPr>
                <w:b/>
                <w:szCs w:val="24"/>
              </w:rPr>
              <w:t xml:space="preserve">Terveydenhuollon </w:t>
            </w:r>
            <w:r>
              <w:rPr>
                <w:b/>
                <w:szCs w:val="24"/>
              </w:rPr>
              <w:t xml:space="preserve">suoritteet ja </w:t>
            </w:r>
            <w:r w:rsidRPr="009349FF">
              <w:rPr>
                <w:b/>
                <w:szCs w:val="24"/>
              </w:rPr>
              <w:t>kustannukset</w:t>
            </w:r>
          </w:p>
        </w:tc>
        <w:tc>
          <w:tcPr>
            <w:tcW w:w="5664" w:type="dxa"/>
          </w:tcPr>
          <w:p w:rsidR="00B3142C" w:rsidRPr="009349FF" w:rsidRDefault="00B3142C" w:rsidP="005D03FE">
            <w:pPr>
              <w:rPr>
                <w:b/>
                <w:szCs w:val="24"/>
              </w:rPr>
            </w:pPr>
            <w:r w:rsidRPr="009349FF">
              <w:rPr>
                <w:b/>
                <w:szCs w:val="24"/>
              </w:rPr>
              <w:t>Lähde:</w:t>
            </w:r>
          </w:p>
        </w:tc>
      </w:tr>
      <w:tr w:rsidR="00B3142C" w:rsidRPr="009349FF" w:rsidTr="005D03FE">
        <w:tc>
          <w:tcPr>
            <w:tcW w:w="3964" w:type="dxa"/>
          </w:tcPr>
          <w:p w:rsidR="00B3142C" w:rsidRPr="009349FF" w:rsidRDefault="00B3142C" w:rsidP="005D03FE">
            <w:pPr>
              <w:rPr>
                <w:szCs w:val="24"/>
              </w:rPr>
            </w:pPr>
            <w:r w:rsidRPr="009349FF">
              <w:rPr>
                <w:szCs w:val="24"/>
              </w:rPr>
              <w:t>Vuodeosastohoito</w:t>
            </w:r>
            <w:r>
              <w:rPr>
                <w:szCs w:val="24"/>
              </w:rPr>
              <w:t xml:space="preserve"> (hoitopäivät ja –jaksot)</w:t>
            </w:r>
          </w:p>
        </w:tc>
        <w:tc>
          <w:tcPr>
            <w:tcW w:w="5664" w:type="dxa"/>
          </w:tcPr>
          <w:p w:rsidR="00B3142C" w:rsidRPr="009349FF" w:rsidRDefault="00B3142C" w:rsidP="005D03FE">
            <w:pPr>
              <w:rPr>
                <w:szCs w:val="24"/>
              </w:rPr>
            </w:pPr>
            <w:r w:rsidRPr="009349FF">
              <w:rPr>
                <w:szCs w:val="24"/>
              </w:rPr>
              <w:t>THL, Hilmo</w:t>
            </w:r>
          </w:p>
        </w:tc>
      </w:tr>
      <w:tr w:rsidR="00B3142C" w:rsidRPr="009349FF" w:rsidTr="005D03FE">
        <w:tc>
          <w:tcPr>
            <w:tcW w:w="3964" w:type="dxa"/>
          </w:tcPr>
          <w:p w:rsidR="00B3142C" w:rsidRPr="009349FF" w:rsidRDefault="00B3142C" w:rsidP="005D03FE">
            <w:pPr>
              <w:rPr>
                <w:szCs w:val="24"/>
              </w:rPr>
            </w:pPr>
            <w:r w:rsidRPr="009349FF">
              <w:rPr>
                <w:szCs w:val="24"/>
              </w:rPr>
              <w:t>Avohoito, erikoissairaanhoito</w:t>
            </w:r>
          </w:p>
        </w:tc>
        <w:tc>
          <w:tcPr>
            <w:tcW w:w="5664" w:type="dxa"/>
          </w:tcPr>
          <w:p w:rsidR="00B3142C" w:rsidRPr="009349FF" w:rsidRDefault="00B3142C" w:rsidP="005D03FE">
            <w:pPr>
              <w:rPr>
                <w:szCs w:val="24"/>
              </w:rPr>
            </w:pPr>
            <w:r w:rsidRPr="009349FF">
              <w:rPr>
                <w:szCs w:val="24"/>
              </w:rPr>
              <w:t>THL, Hilmo</w:t>
            </w:r>
          </w:p>
        </w:tc>
      </w:tr>
      <w:tr w:rsidR="00B3142C" w:rsidRPr="009349FF" w:rsidTr="005D03FE">
        <w:tc>
          <w:tcPr>
            <w:tcW w:w="3964" w:type="dxa"/>
          </w:tcPr>
          <w:p w:rsidR="00B3142C" w:rsidRPr="009349FF" w:rsidRDefault="00B3142C" w:rsidP="005D03FE">
            <w:pPr>
              <w:rPr>
                <w:szCs w:val="24"/>
              </w:rPr>
            </w:pPr>
            <w:r w:rsidRPr="009349FF">
              <w:rPr>
                <w:szCs w:val="24"/>
              </w:rPr>
              <w:t>Avohoito, perusterveydenhuolto</w:t>
            </w:r>
            <w:r>
              <w:rPr>
                <w:szCs w:val="24"/>
              </w:rPr>
              <w:t>, yksityiset ja kolmas sektori</w:t>
            </w:r>
          </w:p>
        </w:tc>
        <w:tc>
          <w:tcPr>
            <w:tcW w:w="5664" w:type="dxa"/>
          </w:tcPr>
          <w:p w:rsidR="00B3142C" w:rsidRPr="009349FF" w:rsidRDefault="00B3142C" w:rsidP="005D03FE">
            <w:pPr>
              <w:rPr>
                <w:szCs w:val="24"/>
              </w:rPr>
            </w:pPr>
            <w:r w:rsidRPr="009349FF">
              <w:rPr>
                <w:szCs w:val="24"/>
              </w:rPr>
              <w:t>THL, Hilmo</w:t>
            </w:r>
          </w:p>
        </w:tc>
      </w:tr>
      <w:tr w:rsidR="00B3142C" w:rsidRPr="009349FF" w:rsidTr="005D03FE">
        <w:tc>
          <w:tcPr>
            <w:tcW w:w="3964" w:type="dxa"/>
          </w:tcPr>
          <w:p w:rsidR="00B3142C" w:rsidRPr="009349FF" w:rsidRDefault="00B3142C" w:rsidP="005D03FE">
            <w:pPr>
              <w:rPr>
                <w:szCs w:val="24"/>
              </w:rPr>
            </w:pPr>
            <w:r w:rsidRPr="009349FF">
              <w:rPr>
                <w:szCs w:val="24"/>
              </w:rPr>
              <w:t>Kuntoutus</w:t>
            </w:r>
          </w:p>
        </w:tc>
        <w:tc>
          <w:tcPr>
            <w:tcW w:w="5664" w:type="dxa"/>
          </w:tcPr>
          <w:p w:rsidR="00B3142C" w:rsidRPr="009349FF" w:rsidRDefault="00B3142C" w:rsidP="005D03FE">
            <w:pPr>
              <w:rPr>
                <w:szCs w:val="24"/>
              </w:rPr>
            </w:pPr>
            <w:r>
              <w:rPr>
                <w:szCs w:val="24"/>
              </w:rPr>
              <w:t>KELA, korvatut kuntoutuspalvelut</w:t>
            </w:r>
          </w:p>
        </w:tc>
      </w:tr>
      <w:tr w:rsidR="00B3142C" w:rsidRPr="009349FF" w:rsidTr="005D03FE">
        <w:tc>
          <w:tcPr>
            <w:tcW w:w="3964" w:type="dxa"/>
          </w:tcPr>
          <w:p w:rsidR="00B3142C" w:rsidRPr="009349FF" w:rsidRDefault="00B3142C" w:rsidP="005D03FE">
            <w:pPr>
              <w:rPr>
                <w:szCs w:val="24"/>
              </w:rPr>
            </w:pPr>
            <w:r w:rsidRPr="009349FF">
              <w:rPr>
                <w:szCs w:val="24"/>
              </w:rPr>
              <w:t>Lääkkeet</w:t>
            </w:r>
            <w:r>
              <w:rPr>
                <w:szCs w:val="24"/>
              </w:rPr>
              <w:t xml:space="preserve"> (avosektori)</w:t>
            </w:r>
          </w:p>
        </w:tc>
        <w:tc>
          <w:tcPr>
            <w:tcW w:w="5664" w:type="dxa"/>
          </w:tcPr>
          <w:p w:rsidR="00B3142C" w:rsidRPr="009349FF" w:rsidRDefault="00B3142C" w:rsidP="005D03FE">
            <w:pPr>
              <w:rPr>
                <w:szCs w:val="24"/>
              </w:rPr>
            </w:pPr>
            <w:r w:rsidRPr="009349FF">
              <w:rPr>
                <w:szCs w:val="24"/>
              </w:rPr>
              <w:t xml:space="preserve">KELA, </w:t>
            </w:r>
            <w:r>
              <w:rPr>
                <w:szCs w:val="24"/>
              </w:rPr>
              <w:t>syöpään liittyvien erityiskorvausoikeuksien perusteella maksettujen lääkkeiden kustannukset</w:t>
            </w:r>
          </w:p>
        </w:tc>
      </w:tr>
      <w:tr w:rsidR="00B3142C" w:rsidRPr="009349FF" w:rsidTr="005D03FE">
        <w:tc>
          <w:tcPr>
            <w:tcW w:w="3964" w:type="dxa"/>
          </w:tcPr>
          <w:p w:rsidR="00B3142C" w:rsidRPr="009349FF" w:rsidRDefault="00B3142C" w:rsidP="005D03FE">
            <w:pPr>
              <w:rPr>
                <w:szCs w:val="24"/>
              </w:rPr>
            </w:pPr>
            <w:r w:rsidRPr="009349FF">
              <w:rPr>
                <w:szCs w:val="24"/>
              </w:rPr>
              <w:t>Seulonta</w:t>
            </w:r>
          </w:p>
        </w:tc>
        <w:tc>
          <w:tcPr>
            <w:tcW w:w="5664" w:type="dxa"/>
          </w:tcPr>
          <w:p w:rsidR="00B3142C" w:rsidRPr="009349FF" w:rsidRDefault="00B3142C" w:rsidP="005D03FE">
            <w:pPr>
              <w:rPr>
                <w:szCs w:val="24"/>
              </w:rPr>
            </w:pPr>
            <w:r w:rsidRPr="009349FF">
              <w:rPr>
                <w:szCs w:val="24"/>
              </w:rPr>
              <w:t>Joukkotarkastusrekisteri</w:t>
            </w:r>
          </w:p>
        </w:tc>
      </w:tr>
      <w:tr w:rsidR="00B3142C" w:rsidRPr="009349FF" w:rsidTr="005D03FE">
        <w:tc>
          <w:tcPr>
            <w:tcW w:w="3964" w:type="dxa"/>
          </w:tcPr>
          <w:p w:rsidR="00B3142C" w:rsidRPr="009349FF" w:rsidRDefault="00B3142C" w:rsidP="005D03FE">
            <w:pPr>
              <w:rPr>
                <w:szCs w:val="24"/>
              </w:rPr>
            </w:pPr>
            <w:r>
              <w:rPr>
                <w:szCs w:val="24"/>
              </w:rPr>
              <w:t>Matkat</w:t>
            </w:r>
          </w:p>
        </w:tc>
        <w:tc>
          <w:tcPr>
            <w:tcW w:w="5664" w:type="dxa"/>
          </w:tcPr>
          <w:p w:rsidR="00B3142C" w:rsidRPr="009349FF" w:rsidRDefault="00B3142C" w:rsidP="005D03FE">
            <w:pPr>
              <w:rPr>
                <w:szCs w:val="24"/>
              </w:rPr>
            </w:pPr>
            <w:r>
              <w:rPr>
                <w:szCs w:val="24"/>
              </w:rPr>
              <w:t>Venesmaa (keskimääräinen etäisyys), V</w:t>
            </w:r>
            <w:r w:rsidRPr="00132BB2">
              <w:rPr>
                <w:szCs w:val="24"/>
              </w:rPr>
              <w:t>erohallinnon</w:t>
            </w:r>
            <w:r>
              <w:rPr>
                <w:szCs w:val="24"/>
              </w:rPr>
              <w:t xml:space="preserve"> määrittämä kilometrikorvaus</w:t>
            </w:r>
          </w:p>
        </w:tc>
      </w:tr>
      <w:tr w:rsidR="00B3142C" w:rsidRPr="009349FF" w:rsidTr="005D03FE">
        <w:tc>
          <w:tcPr>
            <w:tcW w:w="3964" w:type="dxa"/>
          </w:tcPr>
          <w:p w:rsidR="00B3142C" w:rsidRPr="00A81232" w:rsidRDefault="00B3142C" w:rsidP="005D03FE">
            <w:pPr>
              <w:rPr>
                <w:szCs w:val="24"/>
              </w:rPr>
            </w:pPr>
            <w:r w:rsidRPr="00A81232">
              <w:rPr>
                <w:szCs w:val="24"/>
              </w:rPr>
              <w:t>Terveydenhuollon</w:t>
            </w:r>
            <w:r>
              <w:rPr>
                <w:szCs w:val="24"/>
              </w:rPr>
              <w:t xml:space="preserve"> yksikkökustannukset</w:t>
            </w:r>
          </w:p>
        </w:tc>
        <w:tc>
          <w:tcPr>
            <w:tcW w:w="5664" w:type="dxa"/>
          </w:tcPr>
          <w:p w:rsidR="00B3142C" w:rsidRPr="009349FF" w:rsidRDefault="00B3142C" w:rsidP="005D03FE">
            <w:pPr>
              <w:rPr>
                <w:szCs w:val="24"/>
              </w:rPr>
            </w:pPr>
            <w:r>
              <w:rPr>
                <w:szCs w:val="24"/>
              </w:rPr>
              <w:t>THL (Kapiainen ym. 2014)</w:t>
            </w:r>
          </w:p>
        </w:tc>
      </w:tr>
      <w:tr w:rsidR="00B3142C" w:rsidRPr="009349FF" w:rsidTr="005D03FE">
        <w:tc>
          <w:tcPr>
            <w:tcW w:w="3964" w:type="dxa"/>
          </w:tcPr>
          <w:p w:rsidR="00B3142C" w:rsidRPr="00A81232" w:rsidRDefault="00B3142C" w:rsidP="005D03FE">
            <w:pPr>
              <w:rPr>
                <w:szCs w:val="24"/>
              </w:rPr>
            </w:pPr>
            <w:r>
              <w:rPr>
                <w:szCs w:val="24"/>
              </w:rPr>
              <w:t xml:space="preserve">Erikoissairaanhoidon </w:t>
            </w:r>
            <w:r w:rsidRPr="00A81232">
              <w:rPr>
                <w:szCs w:val="24"/>
              </w:rPr>
              <w:t>yksikkökustannusten vuosimuutokset 2009</w:t>
            </w:r>
            <w:r w:rsidR="005D03FE">
              <w:rPr>
                <w:szCs w:val="24"/>
              </w:rPr>
              <w:t>–</w:t>
            </w:r>
            <w:r w:rsidRPr="00A81232">
              <w:rPr>
                <w:szCs w:val="24"/>
              </w:rPr>
              <w:t>2014</w:t>
            </w:r>
          </w:p>
        </w:tc>
        <w:tc>
          <w:tcPr>
            <w:tcW w:w="5664" w:type="dxa"/>
          </w:tcPr>
          <w:p w:rsidR="00B3142C" w:rsidRPr="009349FF" w:rsidRDefault="00B3142C" w:rsidP="005D03FE">
            <w:pPr>
              <w:rPr>
                <w:szCs w:val="24"/>
              </w:rPr>
            </w:pPr>
            <w:r>
              <w:rPr>
                <w:szCs w:val="24"/>
              </w:rPr>
              <w:t>Keski-Suomen sairaanhoitopiirin sekä Helsingin ja Uudenmaan sairaanhoitopiirin kustannus per potilas (KPP)-aineisto</w:t>
            </w:r>
          </w:p>
        </w:tc>
      </w:tr>
      <w:tr w:rsidR="00B3142C" w:rsidRPr="009349FF" w:rsidTr="005D03FE">
        <w:tc>
          <w:tcPr>
            <w:tcW w:w="3964" w:type="dxa"/>
          </w:tcPr>
          <w:p w:rsidR="00B3142C" w:rsidRPr="009349FF" w:rsidRDefault="00B3142C" w:rsidP="005D03FE">
            <w:pPr>
              <w:rPr>
                <w:b/>
                <w:szCs w:val="24"/>
              </w:rPr>
            </w:pPr>
            <w:r w:rsidRPr="009349FF">
              <w:rPr>
                <w:b/>
                <w:szCs w:val="24"/>
              </w:rPr>
              <w:t>Tuottavuuskustannukset</w:t>
            </w:r>
          </w:p>
        </w:tc>
        <w:tc>
          <w:tcPr>
            <w:tcW w:w="5664" w:type="dxa"/>
          </w:tcPr>
          <w:p w:rsidR="00B3142C" w:rsidRPr="009349FF" w:rsidRDefault="00B3142C" w:rsidP="005D03FE">
            <w:pPr>
              <w:rPr>
                <w:szCs w:val="24"/>
              </w:rPr>
            </w:pPr>
          </w:p>
        </w:tc>
      </w:tr>
      <w:tr w:rsidR="00B3142C" w:rsidRPr="009349FF" w:rsidTr="005D03FE">
        <w:tc>
          <w:tcPr>
            <w:tcW w:w="3964" w:type="dxa"/>
          </w:tcPr>
          <w:p w:rsidR="00B3142C" w:rsidRPr="009349FF" w:rsidRDefault="00B3142C" w:rsidP="005D03FE">
            <w:pPr>
              <w:rPr>
                <w:szCs w:val="24"/>
              </w:rPr>
            </w:pPr>
            <w:r w:rsidRPr="009349FF">
              <w:rPr>
                <w:szCs w:val="24"/>
              </w:rPr>
              <w:t>Työkyvyttömyyseläkkeet, työeläke</w:t>
            </w:r>
          </w:p>
        </w:tc>
        <w:tc>
          <w:tcPr>
            <w:tcW w:w="5664" w:type="dxa"/>
          </w:tcPr>
          <w:p w:rsidR="00B3142C" w:rsidRPr="009349FF" w:rsidRDefault="00B3142C" w:rsidP="005D03FE">
            <w:pPr>
              <w:rPr>
                <w:szCs w:val="24"/>
              </w:rPr>
            </w:pPr>
            <w:r w:rsidRPr="009349FF">
              <w:rPr>
                <w:szCs w:val="24"/>
              </w:rPr>
              <w:t>Eläketurvakeskus</w:t>
            </w:r>
            <w:r>
              <w:rPr>
                <w:szCs w:val="24"/>
              </w:rPr>
              <w:t>, KELA</w:t>
            </w:r>
          </w:p>
        </w:tc>
      </w:tr>
      <w:tr w:rsidR="00B3142C" w:rsidRPr="009349FF" w:rsidTr="005D03FE">
        <w:tc>
          <w:tcPr>
            <w:tcW w:w="3964" w:type="dxa"/>
          </w:tcPr>
          <w:p w:rsidR="00B3142C" w:rsidRPr="009349FF" w:rsidRDefault="00B3142C" w:rsidP="005D03FE">
            <w:pPr>
              <w:rPr>
                <w:szCs w:val="24"/>
              </w:rPr>
            </w:pPr>
            <w:r w:rsidRPr="009349FF">
              <w:rPr>
                <w:szCs w:val="24"/>
              </w:rPr>
              <w:t>Työkyvyttömyyseläkkeet, kansaneläke</w:t>
            </w:r>
          </w:p>
        </w:tc>
        <w:tc>
          <w:tcPr>
            <w:tcW w:w="5664" w:type="dxa"/>
          </w:tcPr>
          <w:p w:rsidR="00B3142C" w:rsidRPr="009349FF" w:rsidRDefault="00B3142C" w:rsidP="005D03FE">
            <w:pPr>
              <w:rPr>
                <w:szCs w:val="24"/>
              </w:rPr>
            </w:pPr>
            <w:r w:rsidRPr="009349FF">
              <w:rPr>
                <w:szCs w:val="24"/>
              </w:rPr>
              <w:t>KELA</w:t>
            </w:r>
          </w:p>
        </w:tc>
      </w:tr>
      <w:tr w:rsidR="00B3142C" w:rsidRPr="009349FF" w:rsidTr="005D03FE">
        <w:tc>
          <w:tcPr>
            <w:tcW w:w="3964" w:type="dxa"/>
          </w:tcPr>
          <w:p w:rsidR="00B3142C" w:rsidRPr="009349FF" w:rsidRDefault="00B3142C" w:rsidP="005D03FE">
            <w:pPr>
              <w:rPr>
                <w:szCs w:val="24"/>
              </w:rPr>
            </w:pPr>
            <w:r w:rsidRPr="009349FF">
              <w:rPr>
                <w:szCs w:val="24"/>
              </w:rPr>
              <w:t>Sairauspäivärahat</w:t>
            </w:r>
          </w:p>
        </w:tc>
        <w:tc>
          <w:tcPr>
            <w:tcW w:w="5664" w:type="dxa"/>
          </w:tcPr>
          <w:p w:rsidR="00B3142C" w:rsidRPr="009349FF" w:rsidRDefault="00B3142C" w:rsidP="005D03FE">
            <w:pPr>
              <w:rPr>
                <w:szCs w:val="24"/>
              </w:rPr>
            </w:pPr>
            <w:r w:rsidRPr="009349FF">
              <w:rPr>
                <w:szCs w:val="24"/>
              </w:rPr>
              <w:t>KELA</w:t>
            </w:r>
          </w:p>
        </w:tc>
      </w:tr>
    </w:tbl>
    <w:p w:rsidR="00132BB2" w:rsidRPr="009349FF" w:rsidRDefault="00132BB2" w:rsidP="00132BB2">
      <w:pPr>
        <w:rPr>
          <w:color w:val="FF0000"/>
          <w:szCs w:val="24"/>
        </w:rPr>
      </w:pPr>
    </w:p>
    <w:p w:rsidR="00132BB2" w:rsidRDefault="00132BB2" w:rsidP="00132BB2">
      <w:pPr>
        <w:rPr>
          <w:szCs w:val="24"/>
        </w:rPr>
      </w:pPr>
      <w:r w:rsidRPr="009349FF">
        <w:rPr>
          <w:szCs w:val="24"/>
        </w:rPr>
        <w:t>THL:n hoitoilmoitusrekisteristä (HILM</w:t>
      </w:r>
      <w:r>
        <w:rPr>
          <w:szCs w:val="24"/>
        </w:rPr>
        <w:t>O) poimittii</w:t>
      </w:r>
      <w:r w:rsidRPr="009349FF">
        <w:rPr>
          <w:szCs w:val="24"/>
        </w:rPr>
        <w:t xml:space="preserve">n vuosien 2009–2014 erikoissairaanhoidon ja perusterveydenhuollon </w:t>
      </w:r>
      <w:r>
        <w:rPr>
          <w:szCs w:val="24"/>
        </w:rPr>
        <w:t xml:space="preserve">yksiköiden tuottamat </w:t>
      </w:r>
      <w:r w:rsidRPr="009349FF">
        <w:rPr>
          <w:szCs w:val="24"/>
        </w:rPr>
        <w:t>hoitojaksot ja</w:t>
      </w:r>
      <w:r>
        <w:rPr>
          <w:szCs w:val="24"/>
        </w:rPr>
        <w:t xml:space="preserve"> </w:t>
      </w:r>
      <w:r w:rsidRPr="009349FF">
        <w:rPr>
          <w:szCs w:val="24"/>
        </w:rPr>
        <w:t xml:space="preserve">avohoidon suoritteet, joissa </w:t>
      </w:r>
      <w:r w:rsidR="003B1E3C">
        <w:rPr>
          <w:szCs w:val="24"/>
        </w:rPr>
        <w:lastRenderedPageBreak/>
        <w:t>pääsyy</w:t>
      </w:r>
      <w:r w:rsidRPr="009349FF">
        <w:rPr>
          <w:szCs w:val="24"/>
        </w:rPr>
        <w:t xml:space="preserve">diagnoosina oli kasvain (ICD-10 </w:t>
      </w:r>
      <w:r>
        <w:rPr>
          <w:szCs w:val="24"/>
        </w:rPr>
        <w:t>-koodit C00–C97</w:t>
      </w:r>
      <w:r w:rsidR="002E6890">
        <w:rPr>
          <w:szCs w:val="24"/>
        </w:rPr>
        <w:t xml:space="preserve"> sekä D00-D48</w:t>
      </w:r>
      <w:r w:rsidRPr="009349FF">
        <w:rPr>
          <w:szCs w:val="24"/>
        </w:rPr>
        <w:t>).</w:t>
      </w:r>
      <w:r>
        <w:rPr>
          <w:szCs w:val="24"/>
        </w:rPr>
        <w:t xml:space="preserve"> Mukaan poimintaan otettiin lisäksi yksityiset sairaalat ja kolmannen sektorin toimijat, sillä erityisesti saattohoitoa toteutetaan monella alueella säätiöiden toimesta. </w:t>
      </w:r>
      <w:r w:rsidRPr="00C915BF">
        <w:rPr>
          <w:szCs w:val="24"/>
        </w:rPr>
        <w:t>L</w:t>
      </w:r>
      <w:r>
        <w:rPr>
          <w:szCs w:val="24"/>
        </w:rPr>
        <w:t>isäksi poimittiin samalta aikajaksolta</w:t>
      </w:r>
      <w:r w:rsidRPr="00C915BF">
        <w:rPr>
          <w:szCs w:val="24"/>
        </w:rPr>
        <w:t xml:space="preserve"> kaikkien potilaiden, joilta löytyy syöpädiagnoosi, myös muut käynnit. Tämä tehtiin siksi, että </w:t>
      </w:r>
      <w:r>
        <w:rPr>
          <w:szCs w:val="24"/>
        </w:rPr>
        <w:t xml:space="preserve">toisaalta diagnosointivaiheessa käynteihin ei vielä liity syöpädiagnoosia, ja toisaalta </w:t>
      </w:r>
      <w:r w:rsidRPr="00C915BF">
        <w:rPr>
          <w:szCs w:val="24"/>
        </w:rPr>
        <w:t>vaihtelevat kirjauskäytännöt ja osittain puutteelliset diagnoosikirjaukset saattavat aliarvioida syövän aiheuttamien käyntien määrää</w:t>
      </w:r>
      <w:r>
        <w:rPr>
          <w:szCs w:val="24"/>
        </w:rPr>
        <w:t xml:space="preserve"> etenkin perusterveydenhuollossa</w:t>
      </w:r>
      <w:r w:rsidRPr="00C915BF">
        <w:rPr>
          <w:szCs w:val="24"/>
        </w:rPr>
        <w:t>.</w:t>
      </w:r>
      <w:r>
        <w:rPr>
          <w:szCs w:val="24"/>
        </w:rPr>
        <w:t xml:space="preserve"> </w:t>
      </w:r>
    </w:p>
    <w:p w:rsidR="00132BB2" w:rsidRDefault="00132BB2" w:rsidP="00132BB2">
      <w:pPr>
        <w:rPr>
          <w:szCs w:val="24"/>
        </w:rPr>
      </w:pPr>
      <w:r w:rsidRPr="009349FF">
        <w:rPr>
          <w:szCs w:val="24"/>
        </w:rPr>
        <w:t>K</w:t>
      </w:r>
      <w:r>
        <w:rPr>
          <w:szCs w:val="24"/>
        </w:rPr>
        <w:t>untoutuksen kustannukset saatiin</w:t>
      </w:r>
      <w:r w:rsidRPr="009349FF">
        <w:rPr>
          <w:szCs w:val="24"/>
        </w:rPr>
        <w:t xml:space="preserve"> </w:t>
      </w:r>
      <w:r>
        <w:rPr>
          <w:szCs w:val="24"/>
        </w:rPr>
        <w:t xml:space="preserve">poimimalla </w:t>
      </w:r>
      <w:r w:rsidRPr="009349FF">
        <w:rPr>
          <w:szCs w:val="24"/>
        </w:rPr>
        <w:t xml:space="preserve">Kelan </w:t>
      </w:r>
      <w:r>
        <w:rPr>
          <w:szCs w:val="24"/>
        </w:rPr>
        <w:t>diagnoosien C00-C99 perusteella myöntämien kuntoutuspalveluiden kustannukset sekä näiden diagnoosien perusteella maksetut kuntoutusrahat.</w:t>
      </w:r>
      <w:r w:rsidRPr="009349FF">
        <w:rPr>
          <w:szCs w:val="24"/>
        </w:rPr>
        <w:t xml:space="preserve"> </w:t>
      </w:r>
    </w:p>
    <w:p w:rsidR="00D14442" w:rsidRDefault="00D14442" w:rsidP="00132BB2">
      <w:r>
        <w:t>Avosektorin lääkekustannukset saatiin Kelan rekisteristä poimimalla erityiskorvausoikeusluokkien 115, 116, 117, 128, 130 perusteella maksettujen lääkkeiden kustannukset sekä erityiskorvau</w:t>
      </w:r>
      <w:r w:rsidR="0040457B">
        <w:t xml:space="preserve">soikeusluokkien 150, 152, 153, </w:t>
      </w:r>
      <w:r>
        <w:t>155, 156, 158, 159, 163, 180, 189, 191, 192, 197 ja 198 perusteella syöpäpotilaille maksettujen lääkkeiden kustannukset, sekä rajoitetusti peruskorvattavien lääkkeiden kustannukset luokista 306, 308, 321, 322, 323, 324, 329, 335, 340, 343, 352, 361, 362 ja 363. Sairaalassa käytettyjen lääkkeiden kustannusten oletettiin sisältyvän avokäynti- ja hoitojakso-/hoitopäivähintoihin</w:t>
      </w:r>
    </w:p>
    <w:p w:rsidR="00132BB2" w:rsidRDefault="00132BB2" w:rsidP="00132BB2">
      <w:pPr>
        <w:rPr>
          <w:szCs w:val="24"/>
        </w:rPr>
      </w:pPr>
      <w:r>
        <w:rPr>
          <w:szCs w:val="24"/>
        </w:rPr>
        <w:t xml:space="preserve">Seulontojen kustannukset arvioitiin </w:t>
      </w:r>
      <w:r w:rsidRPr="009349FF">
        <w:rPr>
          <w:szCs w:val="24"/>
        </w:rPr>
        <w:t>Suomen Syöpärekisterin alaisuudessa toimiva</w:t>
      </w:r>
      <w:r>
        <w:rPr>
          <w:szCs w:val="24"/>
        </w:rPr>
        <w:t>n</w:t>
      </w:r>
      <w:r w:rsidRPr="009349FF">
        <w:rPr>
          <w:szCs w:val="24"/>
        </w:rPr>
        <w:t xml:space="preserve"> Joukkotarkastusrekisteri</w:t>
      </w:r>
      <w:r>
        <w:rPr>
          <w:szCs w:val="24"/>
        </w:rPr>
        <w:t>n tilastoimien seulontatutkimusten määrien perusteella</w:t>
      </w:r>
      <w:r w:rsidRPr="009349FF">
        <w:rPr>
          <w:szCs w:val="24"/>
        </w:rPr>
        <w:t xml:space="preserve">. Rekisteristä kerätään sekä lakisääteisesti tehtävien rintasyöpä- sekä kohdunkaulan syöpäseulontojen että osassa kunnista 2000-luvulla aloitetut suolistosyöpien seulontatiedot. </w:t>
      </w:r>
      <w:r>
        <w:rPr>
          <w:szCs w:val="24"/>
        </w:rPr>
        <w:t>Seulontojen yksikköhintoina käytettiin Kapiaisen ym. (2014) ilmoittamia hintoja. Seulontojen yksikköhintojen kasvun oletettiin noudattavan yleistä Tilastokeskuksen tilastoimaa julkisen sosiaali- ja terveystoimen hintaindeksiä</w:t>
      </w:r>
      <w:r w:rsidR="00871E68">
        <w:rPr>
          <w:szCs w:val="24"/>
        </w:rPr>
        <w:t xml:space="preserve"> 2009-2014</w:t>
      </w:r>
      <w:r>
        <w:rPr>
          <w:szCs w:val="24"/>
        </w:rPr>
        <w:t>.</w:t>
      </w:r>
    </w:p>
    <w:p w:rsidR="00132BB2" w:rsidRPr="009349FF" w:rsidRDefault="00132BB2" w:rsidP="00132BB2">
      <w:pPr>
        <w:rPr>
          <w:szCs w:val="24"/>
        </w:rPr>
      </w:pPr>
      <w:r>
        <w:rPr>
          <w:szCs w:val="24"/>
        </w:rPr>
        <w:t>Matkakustannusten suuruutta ei saa suoraan tilastoista, sillä Kelan matkakorvauksiin ei liitetä diagnoositietoa. Tämän vuoksi arvioitiin potilaiden matkustamisesta aiheutuvat kokonaiskustannukset riippumatta siitä, kuka matkat maksaa. Venesmaan (2011) tutkimuksen mukaan 12 sairaalan muodostamassa verkossa potilaan keskimääräinen matka sairaalaan on 35 k</w:t>
      </w:r>
      <w:r w:rsidR="00B83796">
        <w:rPr>
          <w:szCs w:val="24"/>
        </w:rPr>
        <w:t>ilometriä</w:t>
      </w:r>
      <w:r>
        <w:rPr>
          <w:szCs w:val="24"/>
        </w:rPr>
        <w:t>. Matkustamisen kustannukset laskettiin verohallinnon määrittämän kilometrikorvauksen perusteella (0,43€/km vuonna 2014). Laskenta hieman yliarvioi erikoissairaanhoidon käynneistä ja hoitojaksoista aiheutuvaa kustannusta, koska osa käynneistä ja jaksoista toteutuu lähimmässä keskussairaalassa tai aluesairaalassa, ja vain sädehoito on keskitetty 12 sairaalaan. Sädehoidosta kuitenkin kertyy merkittävä määrä matkoja. Perusterveydenhuollon käynneille ja jaksoille ei laskettu matkakustannuksia, sillä ne ovat erittäin pienet, ete</w:t>
      </w:r>
      <w:r w:rsidR="00AB1032">
        <w:rPr>
          <w:szCs w:val="24"/>
        </w:rPr>
        <w:t>nkin kaupungeissa, joissa valta</w:t>
      </w:r>
      <w:r>
        <w:rPr>
          <w:szCs w:val="24"/>
        </w:rPr>
        <w:t>osa potilaista asuu.</w:t>
      </w:r>
    </w:p>
    <w:p w:rsidR="00132BB2" w:rsidRDefault="00132BB2" w:rsidP="00132BB2">
      <w:pPr>
        <w:rPr>
          <w:szCs w:val="24"/>
        </w:rPr>
      </w:pPr>
      <w:r>
        <w:rPr>
          <w:szCs w:val="24"/>
        </w:rPr>
        <w:t>Sairauspoissaolojen kustannusten arvioimiseksi poimittiin Kelan tietokannoista diagnooseille C00-C99 tiedot m</w:t>
      </w:r>
      <w:r w:rsidRPr="009349FF">
        <w:rPr>
          <w:szCs w:val="24"/>
        </w:rPr>
        <w:t>a</w:t>
      </w:r>
      <w:r>
        <w:rPr>
          <w:szCs w:val="24"/>
        </w:rPr>
        <w:t>ksetuista sairauspäivärahoista ja osapäivärahoista. L</w:t>
      </w:r>
      <w:r w:rsidRPr="009349FF">
        <w:rPr>
          <w:szCs w:val="24"/>
        </w:rPr>
        <w:t xml:space="preserve">askutapa </w:t>
      </w:r>
      <w:r>
        <w:rPr>
          <w:szCs w:val="24"/>
        </w:rPr>
        <w:t xml:space="preserve">aliarvioi </w:t>
      </w:r>
      <w:r w:rsidRPr="009349FF">
        <w:rPr>
          <w:szCs w:val="24"/>
        </w:rPr>
        <w:t xml:space="preserve">työstä poissaolojen aiheuttamaa </w:t>
      </w:r>
      <w:r>
        <w:rPr>
          <w:szCs w:val="24"/>
        </w:rPr>
        <w:t>kustannusta, sillä ensimmäisestä 10 sairauspäivästä ja lyhyistä, alle 10 päivän sairauslomista ei makseta Kelan päivärahoja, vaan työnantaja maksaa niistä työntekijälle palkkaa.</w:t>
      </w:r>
    </w:p>
    <w:p w:rsidR="00132BB2" w:rsidRDefault="00132BB2" w:rsidP="00132BB2">
      <w:pPr>
        <w:rPr>
          <w:szCs w:val="24"/>
        </w:rPr>
      </w:pPr>
      <w:r w:rsidRPr="009349FF">
        <w:rPr>
          <w:szCs w:val="24"/>
        </w:rPr>
        <w:t>Työkyvyttömyyse</w:t>
      </w:r>
      <w:r>
        <w:rPr>
          <w:szCs w:val="24"/>
        </w:rPr>
        <w:t>läkkeiden</w:t>
      </w:r>
      <w:r w:rsidRPr="009349FF">
        <w:rPr>
          <w:szCs w:val="24"/>
        </w:rPr>
        <w:t xml:space="preserve"> osalta </w:t>
      </w:r>
      <w:r>
        <w:rPr>
          <w:szCs w:val="24"/>
        </w:rPr>
        <w:t>laskelmissa käytettiin poimintaa Kelan työkyvyttömyyden perusteella maksamista kansaneläkkeistä diagnooseittain diagnooseille C00-C99. Tietoihin oli yhdistetty myös Eläketurvakeskuksen tilastoista tiedot samoille diagnooseille työkyvyttömyyden perusteella maksetuista työeläkkeistä.</w:t>
      </w:r>
      <w:r w:rsidRPr="009349FF">
        <w:rPr>
          <w:szCs w:val="24"/>
        </w:rPr>
        <w:t xml:space="preserve"> </w:t>
      </w:r>
    </w:p>
    <w:p w:rsidR="00AE6728" w:rsidRPr="00A46301" w:rsidRDefault="00132BB2" w:rsidP="00AE6728">
      <w:pPr>
        <w:rPr>
          <w:szCs w:val="24"/>
        </w:rPr>
      </w:pPr>
      <w:r>
        <w:rPr>
          <w:szCs w:val="24"/>
        </w:rPr>
        <w:lastRenderedPageBreak/>
        <w:t>Tutkimuksessa syövän kustannuksiksi määriteltiin diagnooseista C00-C97 aiheutuneet kustannukset lukuun ottamatta kuntoutuksen kustannuksia ja työkyvyttömyyseläkkeitä, joissa mukana ovat myös diagnoosit D00-D48. Määrittely tehtiin tällä tavalla, jotta vertailukelpoisuus Mäklinin ja Rissasen (2006) tutkimuksen kanssa säilyisi.</w:t>
      </w:r>
      <w:r w:rsidR="002E6890">
        <w:rPr>
          <w:szCs w:val="24"/>
        </w:rPr>
        <w:t xml:space="preserve"> Tutkimuksessa on erikseen ilmoitettu D00-D48 diagnoosien aiheuttamat muut kustannukset, jotta jatkossa voidaan arvioida myös niiden kehittymistä.</w:t>
      </w:r>
    </w:p>
    <w:p w:rsidR="00F03855" w:rsidRPr="001626A4" w:rsidRDefault="00132BB2" w:rsidP="001626A4">
      <w:pPr>
        <w:pStyle w:val="Heading1"/>
      </w:pPr>
      <w:r>
        <w:t>Tulokset</w:t>
      </w:r>
    </w:p>
    <w:p w:rsidR="00F03855" w:rsidRDefault="00F03855" w:rsidP="00F03855">
      <w:pPr>
        <w:rPr>
          <w:b/>
          <w:szCs w:val="24"/>
        </w:rPr>
      </w:pPr>
    </w:p>
    <w:p w:rsidR="00AD437E" w:rsidRPr="00F03855" w:rsidRDefault="00AD437E" w:rsidP="00AD437E">
      <w:pPr>
        <w:pStyle w:val="Heading2"/>
      </w:pPr>
      <w:r>
        <w:t>Kustannukset kansallisella tasolla</w:t>
      </w:r>
    </w:p>
    <w:p w:rsidR="00F03855" w:rsidRDefault="00561360" w:rsidP="001626A4">
      <w:r>
        <w:t xml:space="preserve">Syövän </w:t>
      </w:r>
      <w:r w:rsidR="00A44C6D">
        <w:t>aiheuttamat kokonais</w:t>
      </w:r>
      <w:r>
        <w:t>kustannuks</w:t>
      </w:r>
      <w:r w:rsidR="00D82A5B">
        <w:t>et</w:t>
      </w:r>
      <w:r>
        <w:t xml:space="preserve"> </w:t>
      </w:r>
      <w:r w:rsidR="00A44C6D">
        <w:t xml:space="preserve">olivat </w:t>
      </w:r>
      <w:bookmarkStart w:id="0" w:name="_GoBack"/>
      <w:r w:rsidR="005D03FE">
        <w:t>noin</w:t>
      </w:r>
      <w:bookmarkEnd w:id="0"/>
      <w:r w:rsidR="00D82A5B">
        <w:t xml:space="preserve"> </w:t>
      </w:r>
      <w:r w:rsidR="003625B6">
        <w:t>927</w:t>
      </w:r>
      <w:r>
        <w:t xml:space="preserve"> </w:t>
      </w:r>
      <w:r w:rsidR="00653460">
        <w:t>miljoonaa euroa</w:t>
      </w:r>
      <w:r w:rsidR="003625B6">
        <w:t xml:space="preserve"> </w:t>
      </w:r>
      <w:r w:rsidR="00A44C6D">
        <w:t xml:space="preserve">Suomessa vuonna 2014 </w:t>
      </w:r>
      <w:r w:rsidR="003625B6">
        <w:t>ja n</w:t>
      </w:r>
      <w:r w:rsidR="005D03FE">
        <w:t>oin</w:t>
      </w:r>
      <w:r w:rsidR="003625B6">
        <w:t xml:space="preserve"> 78</w:t>
      </w:r>
      <w:r w:rsidR="00653460">
        <w:t>0 miljoonaa euroa</w:t>
      </w:r>
      <w:r w:rsidR="003C406D">
        <w:t xml:space="preserve"> </w:t>
      </w:r>
      <w:r w:rsidR="00A44C6D">
        <w:t xml:space="preserve">vuonna 2009 </w:t>
      </w:r>
      <w:r w:rsidR="003C406D">
        <w:t xml:space="preserve">(kuva </w:t>
      </w:r>
      <w:r w:rsidR="00264CEF">
        <w:t>1</w:t>
      </w:r>
      <w:r w:rsidR="003C406D">
        <w:t>)</w:t>
      </w:r>
      <w:r>
        <w:t>. Kustannu</w:t>
      </w:r>
      <w:r w:rsidR="00653460">
        <w:t>kset kasvoivat tarkastellulla aikavälillä n. 3 % vuodessa. Hoidon kustannusten osuus kasvo</w:t>
      </w:r>
      <w:r w:rsidR="003625B6">
        <w:t xml:space="preserve">i tarkastellulla aikajaksolla 77 </w:t>
      </w:r>
      <w:r w:rsidR="000E3840">
        <w:t>prosentista</w:t>
      </w:r>
      <w:r w:rsidR="003625B6">
        <w:t xml:space="preserve"> 79</w:t>
      </w:r>
      <w:r w:rsidR="00653460">
        <w:t xml:space="preserve"> </w:t>
      </w:r>
      <w:r w:rsidR="000E3840">
        <w:t>prosenttiin</w:t>
      </w:r>
      <w:r w:rsidR="00653460">
        <w:t xml:space="preserve">. Vuonna 2009 suurin yksittäinen kustannuserä oli erikoissairaanhoidon vuodeosastojaksot, mutta vuonna 2014 erikoissairaanhoidon avokäyntien kustannukset </w:t>
      </w:r>
      <w:r w:rsidR="003625B6">
        <w:t>olivat suurin kustannuserä (n</w:t>
      </w:r>
      <w:r w:rsidR="00264CEF">
        <w:t>.</w:t>
      </w:r>
      <w:r w:rsidR="003625B6">
        <w:t xml:space="preserve"> 31</w:t>
      </w:r>
      <w:r w:rsidR="00653460">
        <w:t xml:space="preserve"> </w:t>
      </w:r>
      <w:r w:rsidR="000E3840">
        <w:t>prosenttia</w:t>
      </w:r>
      <w:r w:rsidR="00653460">
        <w:t xml:space="preserve"> kokonaiskustannuksista). </w:t>
      </w:r>
      <w:r w:rsidR="007570F7">
        <w:t>Nopeimmin kasvanee</w:t>
      </w:r>
      <w:r w:rsidR="00871E68">
        <w:t>t kustannuserä</w:t>
      </w:r>
      <w:r w:rsidR="007570F7">
        <w:t>t</w:t>
      </w:r>
      <w:r w:rsidR="00871E68">
        <w:t xml:space="preserve"> oli</w:t>
      </w:r>
      <w:r w:rsidR="007570F7">
        <w:t>vat</w:t>
      </w:r>
      <w:r w:rsidR="00871E68">
        <w:t xml:space="preserve"> </w:t>
      </w:r>
      <w:r w:rsidR="007570F7">
        <w:t xml:space="preserve">avokäynnit (8 </w:t>
      </w:r>
      <w:r w:rsidR="000E3840">
        <w:t>prosenttia</w:t>
      </w:r>
      <w:r w:rsidR="007570F7">
        <w:t xml:space="preserve"> vuodessa) sekä </w:t>
      </w:r>
      <w:r w:rsidR="00871E68">
        <w:t>erityiskorvatut lääkkeet (</w:t>
      </w:r>
      <w:r w:rsidR="007570F7">
        <w:t xml:space="preserve">6 </w:t>
      </w:r>
      <w:r w:rsidR="000E3840">
        <w:t>prosenttia</w:t>
      </w:r>
      <w:r w:rsidR="007570F7">
        <w:t xml:space="preserve"> vuodessa). Työkyvyttömyyseläkekustannukset ja vuodeosastokustannukset vähenivät hieman.</w:t>
      </w:r>
    </w:p>
    <w:p w:rsidR="00B868D2" w:rsidRPr="00D82A5B" w:rsidRDefault="00023153" w:rsidP="00D82A5B">
      <w:pPr>
        <w:keepNext/>
      </w:pPr>
      <w:r w:rsidRPr="00023153">
        <w:rPr>
          <w:noProof/>
          <w:lang w:eastAsia="fi-FI"/>
        </w:rPr>
        <w:drawing>
          <wp:inline distT="0" distB="0" distL="0" distR="0" wp14:anchorId="17F4D631" wp14:editId="26C9D09F">
            <wp:extent cx="6120130" cy="341376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68D2" w:rsidRDefault="00B868D2" w:rsidP="00B868D2">
      <w:pPr>
        <w:pStyle w:val="Caption"/>
      </w:pPr>
      <w:r>
        <w:t xml:space="preserve">Kuva </w:t>
      </w:r>
      <w:fldSimple w:instr=" SEQ Kuva \* ARABIC ">
        <w:r w:rsidR="00AF6C6F">
          <w:rPr>
            <w:noProof/>
          </w:rPr>
          <w:t>1</w:t>
        </w:r>
      </w:fldSimple>
      <w:r w:rsidR="00976D54">
        <w:rPr>
          <w:noProof/>
        </w:rPr>
        <w:t>.</w:t>
      </w:r>
      <w:r>
        <w:t xml:space="preserve"> </w:t>
      </w:r>
      <w:r w:rsidR="00D82A5B">
        <w:t>Sy</w:t>
      </w:r>
      <w:r w:rsidR="00871E68">
        <w:t>ö</w:t>
      </w:r>
      <w:r w:rsidR="00D82A5B">
        <w:t>vän kustannukset Suomessa 2009-</w:t>
      </w:r>
      <w:r w:rsidR="00D04281">
        <w:t>2014, miljoonaa euroa, kunkin vuoden käyvin hinnoin</w:t>
      </w:r>
    </w:p>
    <w:p w:rsidR="008E272C" w:rsidRDefault="008E272C" w:rsidP="00B868D2">
      <w:r>
        <w:t>Tarkemman KPP-aineiston perusteella sairaa</w:t>
      </w:r>
      <w:r w:rsidR="00264CEF">
        <w:t>la</w:t>
      </w:r>
      <w:r>
        <w:t>hoidon kustannuksista nope</w:t>
      </w:r>
      <w:r w:rsidR="00264CEF">
        <w:t>immin</w:t>
      </w:r>
      <w:r>
        <w:t xml:space="preserve"> kasvoivat lääkekustannukset, noin 5 </w:t>
      </w:r>
      <w:r w:rsidR="000E3840">
        <w:t>prosenttia</w:t>
      </w:r>
      <w:r>
        <w:t xml:space="preserve"> vuodessa kummassakin </w:t>
      </w:r>
      <w:r w:rsidR="00D83404">
        <w:t xml:space="preserve">sairaalassa. </w:t>
      </w:r>
    </w:p>
    <w:p w:rsidR="00B868D2" w:rsidRDefault="003C406D" w:rsidP="00B868D2">
      <w:r>
        <w:t>Kuvassa 3</w:t>
      </w:r>
      <w:r w:rsidR="00B868D2">
        <w:t xml:space="preserve"> on esitetty</w:t>
      </w:r>
      <w:r w:rsidR="00D571A6">
        <w:t xml:space="preserve"> kustannukset</w:t>
      </w:r>
      <w:r w:rsidR="00B868D2">
        <w:t xml:space="preserve"> </w:t>
      </w:r>
      <w:r>
        <w:t>huomioiden yleisen hintatason muutos</w:t>
      </w:r>
      <w:r w:rsidR="00871E68">
        <w:t xml:space="preserve"> siten, että kaikki kustannukset on esitetty vuoden 2014 hinnoissa</w:t>
      </w:r>
      <w:r w:rsidR="00B868D2">
        <w:t xml:space="preserve">. </w:t>
      </w:r>
      <w:r w:rsidR="00A44B7C">
        <w:t>R</w:t>
      </w:r>
      <w:r w:rsidR="00B868D2">
        <w:t xml:space="preserve">eaalinen </w:t>
      </w:r>
      <w:r>
        <w:t>kustannusten kasvu 2009</w:t>
      </w:r>
      <w:r w:rsidR="00B868D2">
        <w:t xml:space="preserve">–2014 on ollut </w:t>
      </w:r>
      <w:r w:rsidR="00A44B7C">
        <w:t>n</w:t>
      </w:r>
      <w:r w:rsidR="005D03FE">
        <w:t>oin</w:t>
      </w:r>
      <w:r w:rsidR="00A44B7C">
        <w:t xml:space="preserve"> 1 </w:t>
      </w:r>
      <w:r w:rsidR="000E3840">
        <w:t>prosentti</w:t>
      </w:r>
      <w:r w:rsidR="00A44B7C">
        <w:t xml:space="preserve"> vuodessa</w:t>
      </w:r>
      <w:r w:rsidR="00B868D2">
        <w:t xml:space="preserve"> (kuva</w:t>
      </w:r>
      <w:r w:rsidR="00264CEF">
        <w:t xml:space="preserve"> 2</w:t>
      </w:r>
      <w:r w:rsidR="00B868D2">
        <w:t>).</w:t>
      </w:r>
      <w:r w:rsidR="00A44B7C">
        <w:t xml:space="preserve"> </w:t>
      </w:r>
      <w:r w:rsidR="00491081">
        <w:t xml:space="preserve"> </w:t>
      </w:r>
    </w:p>
    <w:p w:rsidR="00E85091" w:rsidRDefault="00023153" w:rsidP="00E85091">
      <w:pPr>
        <w:keepNext/>
      </w:pPr>
      <w:r w:rsidRPr="00023153">
        <w:rPr>
          <w:noProof/>
          <w:lang w:eastAsia="fi-FI"/>
        </w:rPr>
        <w:lastRenderedPageBreak/>
        <w:drawing>
          <wp:inline distT="0" distB="0" distL="0" distR="0" wp14:anchorId="27552DCB" wp14:editId="09CA89E9">
            <wp:extent cx="6120130" cy="309372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5091" w:rsidRDefault="00E85091" w:rsidP="00E85091">
      <w:pPr>
        <w:pStyle w:val="Caption"/>
      </w:pPr>
      <w:r>
        <w:t xml:space="preserve">Kuva </w:t>
      </w:r>
      <w:fldSimple w:instr=" SEQ Kuva \* ARABIC ">
        <w:r w:rsidR="00AF6C6F">
          <w:rPr>
            <w:noProof/>
          </w:rPr>
          <w:t>2</w:t>
        </w:r>
      </w:fldSimple>
      <w:r w:rsidR="00976D54">
        <w:rPr>
          <w:noProof/>
        </w:rPr>
        <w:t>.</w:t>
      </w:r>
      <w:r>
        <w:t xml:space="preserve"> Syövän</w:t>
      </w:r>
      <w:r w:rsidR="00653460">
        <w:t xml:space="preserve"> deflatoidut</w:t>
      </w:r>
      <w:r>
        <w:t xml:space="preserve"> kustannukset Suomessa </w:t>
      </w:r>
      <w:r w:rsidR="00653460">
        <w:t>2009-2014</w:t>
      </w:r>
      <w:r w:rsidR="00D04281">
        <w:t>, miljoonaa euroa</w:t>
      </w:r>
      <w:r>
        <w:t xml:space="preserve"> vuoden 2014 hinnoissa</w:t>
      </w:r>
    </w:p>
    <w:p w:rsidR="00B820D5" w:rsidRDefault="004D5C7E" w:rsidP="00B820D5">
      <w:r>
        <w:t xml:space="preserve">Sairaalahoidon ulkopuolisista </w:t>
      </w:r>
      <w:r w:rsidR="00A44C6D">
        <w:t xml:space="preserve">kustannuksista erityiskorvattujen lääkkeiden kustannukset nousivat ja eläkekustannukset laskivat. Muilta osin muutokset olivat vähäisiä. </w:t>
      </w:r>
      <w:r w:rsidR="00B820D5">
        <w:t>Hoidon kustannusjakauman muutokset selittyvät pääosin hoitokäytäntöjen muuttumisella avohoitopainotteisemmaksi. Hoito</w:t>
      </w:r>
      <w:r w:rsidR="00A44C6D">
        <w:t>päivät vähenivät kokonaisuudess</w:t>
      </w:r>
      <w:r w:rsidR="00B820D5">
        <w:t>aan 2009</w:t>
      </w:r>
      <w:r w:rsidR="005D03FE">
        <w:t>–</w:t>
      </w:r>
      <w:r w:rsidR="00B820D5">
        <w:t xml:space="preserve">2014 n. 8 </w:t>
      </w:r>
      <w:r w:rsidR="000E3840">
        <w:t>prosenttia</w:t>
      </w:r>
      <w:r w:rsidR="00B820D5">
        <w:t xml:space="preserve"> (</w:t>
      </w:r>
      <w:r w:rsidR="00B820D5">
        <w:fldChar w:fldCharType="begin"/>
      </w:r>
      <w:r w:rsidR="00B820D5">
        <w:instrText xml:space="preserve"> REF _Ref473706781 \h </w:instrText>
      </w:r>
      <w:r w:rsidR="00B820D5">
        <w:fldChar w:fldCharType="separate"/>
      </w:r>
      <w:r w:rsidR="00B820D5">
        <w:t xml:space="preserve">Taulukko </w:t>
      </w:r>
      <w:r w:rsidR="00B820D5">
        <w:rPr>
          <w:noProof/>
        </w:rPr>
        <w:t>2</w:t>
      </w:r>
      <w:r w:rsidR="00B820D5">
        <w:fldChar w:fldCharType="end"/>
      </w:r>
      <w:r w:rsidR="00B820D5">
        <w:t>)</w:t>
      </w:r>
      <w:r>
        <w:t xml:space="preserve"> ja</w:t>
      </w:r>
      <w:r w:rsidR="00B820D5">
        <w:t xml:space="preserve"> </w:t>
      </w:r>
      <w:r>
        <w:t>e</w:t>
      </w:r>
      <w:r w:rsidR="00B820D5">
        <w:t xml:space="preserve">rikoissairaanhoidossa hoitopäivät vähenivät 19 </w:t>
      </w:r>
      <w:r w:rsidR="000E3840">
        <w:t>prosenttia</w:t>
      </w:r>
      <w:r w:rsidR="00B820D5">
        <w:t xml:space="preserve">. Samaan aikaan käyntimäärät kasvoivat 4 </w:t>
      </w:r>
      <w:r w:rsidR="000E3840">
        <w:t>prosenttia</w:t>
      </w:r>
      <w:r w:rsidR="005F2CFA">
        <w:t xml:space="preserve"> vuodessa ja yhteensä koko ajanjaksolla</w:t>
      </w:r>
      <w:r w:rsidR="00B820D5">
        <w:t xml:space="preserve"> 24 </w:t>
      </w:r>
      <w:r w:rsidR="000E3840">
        <w:t>prosenttia</w:t>
      </w:r>
      <w:r w:rsidR="00B820D5">
        <w:t xml:space="preserve">. </w:t>
      </w:r>
    </w:p>
    <w:p w:rsidR="00B820D5" w:rsidRDefault="00B820D5" w:rsidP="00B820D5">
      <w:pPr>
        <w:pStyle w:val="Caption"/>
        <w:keepNext/>
      </w:pPr>
      <w:bookmarkStart w:id="1" w:name="_Ref473706781"/>
      <w:r>
        <w:t xml:space="preserve">Taulukko </w:t>
      </w:r>
      <w:fldSimple w:instr=" SEQ Taulukko \* ARABIC ">
        <w:r w:rsidR="00976D54">
          <w:rPr>
            <w:noProof/>
          </w:rPr>
          <w:t>2</w:t>
        </w:r>
      </w:fldSimple>
      <w:bookmarkEnd w:id="1"/>
      <w:r>
        <w:t>. Pahanlaatuisiin kasvaimiin (C-alkuiset diagnoosit) liittyvät hoitojaksot-, päivät ja avohoitokäynnit 2009-2014.</w:t>
      </w:r>
    </w:p>
    <w:tbl>
      <w:tblPr>
        <w:tblW w:w="9638" w:type="dxa"/>
        <w:tblCellMar>
          <w:left w:w="70" w:type="dxa"/>
          <w:right w:w="70" w:type="dxa"/>
        </w:tblCellMar>
        <w:tblLook w:val="04A0" w:firstRow="1" w:lastRow="0" w:firstColumn="1" w:lastColumn="0" w:noHBand="0" w:noVBand="1"/>
      </w:tblPr>
      <w:tblGrid>
        <w:gridCol w:w="2952"/>
        <w:gridCol w:w="892"/>
        <w:gridCol w:w="891"/>
        <w:gridCol w:w="891"/>
        <w:gridCol w:w="891"/>
        <w:gridCol w:w="891"/>
        <w:gridCol w:w="814"/>
        <w:gridCol w:w="1416"/>
      </w:tblGrid>
      <w:tr w:rsidR="00540F34" w:rsidRPr="00B820D5" w:rsidTr="00540F34">
        <w:trPr>
          <w:trHeight w:val="291"/>
        </w:trPr>
        <w:tc>
          <w:tcPr>
            <w:tcW w:w="2952" w:type="dxa"/>
            <w:tcBorders>
              <w:top w:val="nil"/>
              <w:left w:val="nil"/>
              <w:bottom w:val="single" w:sz="4" w:space="0" w:color="95B3D7"/>
              <w:right w:val="nil"/>
            </w:tcBorders>
            <w:shd w:val="clear" w:color="DCE6F1" w:fill="DCE6F1"/>
            <w:noWrap/>
            <w:vAlign w:val="bottom"/>
            <w:hideMark/>
          </w:tcPr>
          <w:p w:rsidR="00B820D5" w:rsidRPr="00B820D5" w:rsidRDefault="00B820D5" w:rsidP="00B820D5">
            <w:pPr>
              <w:spacing w:after="0"/>
              <w:jc w:val="left"/>
              <w:rPr>
                <w:rFonts w:ascii="Calibri" w:eastAsia="Times New Roman" w:hAnsi="Calibri" w:cs="Calibri"/>
                <w:b/>
                <w:bCs/>
                <w:color w:val="000000"/>
                <w:sz w:val="22"/>
                <w:lang w:eastAsia="fi-FI"/>
              </w:rPr>
            </w:pPr>
            <w:r>
              <w:rPr>
                <w:rFonts w:ascii="Calibri" w:eastAsia="Times New Roman" w:hAnsi="Calibri" w:cs="Calibri"/>
                <w:b/>
                <w:bCs/>
                <w:color w:val="000000"/>
                <w:sz w:val="22"/>
                <w:lang w:eastAsia="fi-FI"/>
              </w:rPr>
              <w:t>Vuosi</w:t>
            </w:r>
          </w:p>
        </w:tc>
        <w:tc>
          <w:tcPr>
            <w:tcW w:w="892" w:type="dxa"/>
            <w:tcBorders>
              <w:top w:val="nil"/>
              <w:left w:val="nil"/>
              <w:bottom w:val="single" w:sz="4" w:space="0" w:color="95B3D7"/>
              <w:right w:val="nil"/>
            </w:tcBorders>
            <w:shd w:val="clear" w:color="DCE6F1" w:fill="DCE6F1"/>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r w:rsidRPr="00B820D5">
              <w:rPr>
                <w:rFonts w:ascii="Calibri" w:eastAsia="Times New Roman" w:hAnsi="Calibri" w:cs="Calibri"/>
                <w:b/>
                <w:bCs/>
                <w:color w:val="000000"/>
                <w:sz w:val="22"/>
                <w:lang w:eastAsia="fi-FI"/>
              </w:rPr>
              <w:t>2009</w:t>
            </w:r>
          </w:p>
        </w:tc>
        <w:tc>
          <w:tcPr>
            <w:tcW w:w="891" w:type="dxa"/>
            <w:tcBorders>
              <w:top w:val="nil"/>
              <w:left w:val="nil"/>
              <w:bottom w:val="single" w:sz="4" w:space="0" w:color="95B3D7"/>
              <w:right w:val="nil"/>
            </w:tcBorders>
            <w:shd w:val="clear" w:color="DCE6F1" w:fill="DCE6F1"/>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r w:rsidRPr="00B820D5">
              <w:rPr>
                <w:rFonts w:ascii="Calibri" w:eastAsia="Times New Roman" w:hAnsi="Calibri" w:cs="Calibri"/>
                <w:b/>
                <w:bCs/>
                <w:color w:val="000000"/>
                <w:sz w:val="22"/>
                <w:lang w:eastAsia="fi-FI"/>
              </w:rPr>
              <w:t>2010</w:t>
            </w:r>
          </w:p>
        </w:tc>
        <w:tc>
          <w:tcPr>
            <w:tcW w:w="891" w:type="dxa"/>
            <w:tcBorders>
              <w:top w:val="nil"/>
              <w:left w:val="nil"/>
              <w:bottom w:val="single" w:sz="4" w:space="0" w:color="95B3D7"/>
              <w:right w:val="nil"/>
            </w:tcBorders>
            <w:shd w:val="clear" w:color="DCE6F1" w:fill="DCE6F1"/>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r w:rsidRPr="00B820D5">
              <w:rPr>
                <w:rFonts w:ascii="Calibri" w:eastAsia="Times New Roman" w:hAnsi="Calibri" w:cs="Calibri"/>
                <w:b/>
                <w:bCs/>
                <w:color w:val="000000"/>
                <w:sz w:val="22"/>
                <w:lang w:eastAsia="fi-FI"/>
              </w:rPr>
              <w:t>2011</w:t>
            </w:r>
          </w:p>
        </w:tc>
        <w:tc>
          <w:tcPr>
            <w:tcW w:w="891" w:type="dxa"/>
            <w:tcBorders>
              <w:top w:val="nil"/>
              <w:left w:val="nil"/>
              <w:bottom w:val="single" w:sz="4" w:space="0" w:color="95B3D7"/>
              <w:right w:val="nil"/>
            </w:tcBorders>
            <w:shd w:val="clear" w:color="DCE6F1" w:fill="DCE6F1"/>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r w:rsidRPr="00B820D5">
              <w:rPr>
                <w:rFonts w:ascii="Calibri" w:eastAsia="Times New Roman" w:hAnsi="Calibri" w:cs="Calibri"/>
                <w:b/>
                <w:bCs/>
                <w:color w:val="000000"/>
                <w:sz w:val="22"/>
                <w:lang w:eastAsia="fi-FI"/>
              </w:rPr>
              <w:t>2012</w:t>
            </w:r>
          </w:p>
        </w:tc>
        <w:tc>
          <w:tcPr>
            <w:tcW w:w="891" w:type="dxa"/>
            <w:tcBorders>
              <w:top w:val="nil"/>
              <w:left w:val="nil"/>
              <w:bottom w:val="single" w:sz="4" w:space="0" w:color="95B3D7"/>
              <w:right w:val="nil"/>
            </w:tcBorders>
            <w:shd w:val="clear" w:color="DCE6F1" w:fill="DCE6F1"/>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r w:rsidRPr="00B820D5">
              <w:rPr>
                <w:rFonts w:ascii="Calibri" w:eastAsia="Times New Roman" w:hAnsi="Calibri" w:cs="Calibri"/>
                <w:b/>
                <w:bCs/>
                <w:color w:val="000000"/>
                <w:sz w:val="22"/>
                <w:lang w:eastAsia="fi-FI"/>
              </w:rPr>
              <w:t>2013</w:t>
            </w:r>
          </w:p>
        </w:tc>
        <w:tc>
          <w:tcPr>
            <w:tcW w:w="814" w:type="dxa"/>
            <w:tcBorders>
              <w:top w:val="nil"/>
              <w:left w:val="nil"/>
              <w:bottom w:val="single" w:sz="4" w:space="0" w:color="95B3D7"/>
              <w:right w:val="nil"/>
            </w:tcBorders>
            <w:shd w:val="clear" w:color="DCE6F1" w:fill="DCE6F1"/>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r w:rsidRPr="00B820D5">
              <w:rPr>
                <w:rFonts w:ascii="Calibri" w:eastAsia="Times New Roman" w:hAnsi="Calibri" w:cs="Calibri"/>
                <w:b/>
                <w:bCs/>
                <w:color w:val="000000"/>
                <w:sz w:val="22"/>
                <w:lang w:eastAsia="fi-FI"/>
              </w:rPr>
              <w:t>2014</w:t>
            </w:r>
          </w:p>
        </w:tc>
        <w:tc>
          <w:tcPr>
            <w:tcW w:w="1416" w:type="dxa"/>
            <w:tcBorders>
              <w:top w:val="nil"/>
              <w:left w:val="nil"/>
              <w:bottom w:val="single" w:sz="4" w:space="0" w:color="95B3D7"/>
              <w:right w:val="nil"/>
            </w:tcBorders>
            <w:shd w:val="clear" w:color="DCE6F1" w:fill="DCE6F1"/>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r>
              <w:rPr>
                <w:rFonts w:ascii="Calibri" w:eastAsia="Times New Roman" w:hAnsi="Calibri" w:cs="Calibri"/>
                <w:b/>
                <w:bCs/>
                <w:color w:val="000000"/>
                <w:sz w:val="22"/>
                <w:lang w:eastAsia="fi-FI"/>
              </w:rPr>
              <w:t>Vuosimuutos</w:t>
            </w:r>
          </w:p>
        </w:tc>
      </w:tr>
      <w:tr w:rsidR="00B820D5" w:rsidRPr="00B820D5" w:rsidTr="00540F34">
        <w:trPr>
          <w:trHeight w:val="291"/>
        </w:trPr>
        <w:tc>
          <w:tcPr>
            <w:tcW w:w="2952" w:type="dxa"/>
            <w:tcBorders>
              <w:top w:val="nil"/>
              <w:left w:val="nil"/>
              <w:bottom w:val="single" w:sz="4" w:space="0" w:color="95B3D7"/>
              <w:right w:val="nil"/>
            </w:tcBorders>
            <w:shd w:val="clear" w:color="auto" w:fill="auto"/>
            <w:noWrap/>
            <w:vAlign w:val="bottom"/>
            <w:hideMark/>
          </w:tcPr>
          <w:p w:rsidR="00B820D5" w:rsidRPr="00B820D5" w:rsidRDefault="00B820D5" w:rsidP="00B820D5">
            <w:pPr>
              <w:spacing w:after="0"/>
              <w:jc w:val="left"/>
              <w:rPr>
                <w:rFonts w:ascii="Calibri" w:eastAsia="Times New Roman" w:hAnsi="Calibri" w:cs="Calibri"/>
                <w:b/>
                <w:bCs/>
                <w:color w:val="000000"/>
                <w:sz w:val="22"/>
                <w:lang w:eastAsia="fi-FI"/>
              </w:rPr>
            </w:pPr>
            <w:r>
              <w:rPr>
                <w:rFonts w:ascii="Calibri" w:eastAsia="Times New Roman" w:hAnsi="Calibri" w:cs="Calibri"/>
                <w:b/>
                <w:bCs/>
                <w:color w:val="000000"/>
                <w:sz w:val="22"/>
                <w:lang w:eastAsia="fi-FI"/>
              </w:rPr>
              <w:t>Erikoissairaanhoito</w:t>
            </w:r>
          </w:p>
        </w:tc>
        <w:tc>
          <w:tcPr>
            <w:tcW w:w="892" w:type="dxa"/>
            <w:tcBorders>
              <w:top w:val="nil"/>
              <w:left w:val="nil"/>
              <w:bottom w:val="single" w:sz="4" w:space="0" w:color="95B3D7"/>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p>
        </w:tc>
        <w:tc>
          <w:tcPr>
            <w:tcW w:w="891" w:type="dxa"/>
            <w:tcBorders>
              <w:top w:val="nil"/>
              <w:left w:val="nil"/>
              <w:bottom w:val="single" w:sz="4" w:space="0" w:color="95B3D7"/>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p>
        </w:tc>
        <w:tc>
          <w:tcPr>
            <w:tcW w:w="891" w:type="dxa"/>
            <w:tcBorders>
              <w:top w:val="nil"/>
              <w:left w:val="nil"/>
              <w:bottom w:val="single" w:sz="4" w:space="0" w:color="95B3D7"/>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p>
        </w:tc>
        <w:tc>
          <w:tcPr>
            <w:tcW w:w="891" w:type="dxa"/>
            <w:tcBorders>
              <w:top w:val="nil"/>
              <w:left w:val="nil"/>
              <w:bottom w:val="single" w:sz="4" w:space="0" w:color="95B3D7"/>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p>
        </w:tc>
        <w:tc>
          <w:tcPr>
            <w:tcW w:w="891" w:type="dxa"/>
            <w:tcBorders>
              <w:top w:val="nil"/>
              <w:left w:val="nil"/>
              <w:bottom w:val="single" w:sz="4" w:space="0" w:color="95B3D7"/>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p>
        </w:tc>
        <w:tc>
          <w:tcPr>
            <w:tcW w:w="814" w:type="dxa"/>
            <w:tcBorders>
              <w:top w:val="nil"/>
              <w:left w:val="nil"/>
              <w:bottom w:val="single" w:sz="4" w:space="0" w:color="95B3D7"/>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p>
        </w:tc>
        <w:tc>
          <w:tcPr>
            <w:tcW w:w="1416" w:type="dxa"/>
            <w:tcBorders>
              <w:top w:val="nil"/>
              <w:left w:val="nil"/>
              <w:bottom w:val="single" w:sz="4" w:space="0" w:color="95B3D7"/>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p>
        </w:tc>
      </w:tr>
      <w:tr w:rsidR="00B820D5" w:rsidRPr="00B820D5" w:rsidTr="00540F34">
        <w:trPr>
          <w:trHeight w:val="291"/>
        </w:trPr>
        <w:tc>
          <w:tcPr>
            <w:tcW w:w="2952" w:type="dxa"/>
            <w:tcBorders>
              <w:top w:val="nil"/>
              <w:left w:val="nil"/>
              <w:bottom w:val="nil"/>
              <w:right w:val="nil"/>
            </w:tcBorders>
            <w:shd w:val="clear" w:color="auto" w:fill="auto"/>
            <w:noWrap/>
            <w:vAlign w:val="bottom"/>
            <w:hideMark/>
          </w:tcPr>
          <w:p w:rsidR="00B820D5" w:rsidRPr="00B820D5" w:rsidRDefault="00B820D5" w:rsidP="00B820D5">
            <w:pPr>
              <w:spacing w:after="0"/>
              <w:ind w:firstLineChars="100" w:firstLine="220"/>
              <w:jc w:val="left"/>
              <w:rPr>
                <w:rFonts w:ascii="Calibri" w:eastAsia="Times New Roman" w:hAnsi="Calibri" w:cs="Calibri"/>
                <w:color w:val="000000"/>
                <w:sz w:val="22"/>
                <w:lang w:eastAsia="fi-FI"/>
              </w:rPr>
            </w:pPr>
            <w:r>
              <w:rPr>
                <w:rFonts w:ascii="Calibri" w:eastAsia="Times New Roman" w:hAnsi="Calibri" w:cs="Calibri"/>
                <w:color w:val="000000"/>
                <w:sz w:val="22"/>
                <w:lang w:eastAsia="fi-FI"/>
              </w:rPr>
              <w:t>Hoitojaksot</w:t>
            </w:r>
          </w:p>
        </w:tc>
        <w:tc>
          <w:tcPr>
            <w:tcW w:w="892"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74018</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72803</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71875</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70143</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65823</w:t>
            </w:r>
          </w:p>
        </w:tc>
        <w:tc>
          <w:tcPr>
            <w:tcW w:w="814"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64922</w:t>
            </w:r>
          </w:p>
        </w:tc>
        <w:tc>
          <w:tcPr>
            <w:tcW w:w="1416"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Pr>
                <w:rFonts w:ascii="Calibri" w:hAnsi="Calibri" w:cs="Calibri"/>
                <w:color w:val="000000"/>
                <w:sz w:val="22"/>
              </w:rPr>
              <w:t>-3 %</w:t>
            </w:r>
          </w:p>
        </w:tc>
      </w:tr>
      <w:tr w:rsidR="00B820D5" w:rsidRPr="00B820D5" w:rsidTr="00540F34">
        <w:trPr>
          <w:trHeight w:val="291"/>
        </w:trPr>
        <w:tc>
          <w:tcPr>
            <w:tcW w:w="2952" w:type="dxa"/>
            <w:tcBorders>
              <w:top w:val="nil"/>
              <w:left w:val="nil"/>
              <w:bottom w:val="nil"/>
              <w:right w:val="nil"/>
            </w:tcBorders>
            <w:shd w:val="clear" w:color="auto" w:fill="auto"/>
            <w:noWrap/>
            <w:vAlign w:val="bottom"/>
            <w:hideMark/>
          </w:tcPr>
          <w:p w:rsidR="00B820D5" w:rsidRPr="00B820D5" w:rsidRDefault="00B820D5" w:rsidP="00B820D5">
            <w:pPr>
              <w:spacing w:after="0"/>
              <w:ind w:firstLineChars="100" w:firstLine="220"/>
              <w:jc w:val="left"/>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Käynnit</w:t>
            </w:r>
          </w:p>
        </w:tc>
        <w:tc>
          <w:tcPr>
            <w:tcW w:w="892"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697758</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759685</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774158</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799436</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845651</w:t>
            </w:r>
          </w:p>
        </w:tc>
        <w:tc>
          <w:tcPr>
            <w:tcW w:w="814"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867603</w:t>
            </w:r>
          </w:p>
        </w:tc>
        <w:tc>
          <w:tcPr>
            <w:tcW w:w="1416"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Pr>
                <w:rFonts w:ascii="Calibri" w:hAnsi="Calibri" w:cs="Calibri"/>
                <w:color w:val="000000"/>
                <w:sz w:val="22"/>
              </w:rPr>
              <w:t>4 %</w:t>
            </w:r>
          </w:p>
        </w:tc>
      </w:tr>
      <w:tr w:rsidR="00B820D5" w:rsidRPr="00B820D5" w:rsidTr="00540F34">
        <w:trPr>
          <w:trHeight w:val="291"/>
        </w:trPr>
        <w:tc>
          <w:tcPr>
            <w:tcW w:w="2952" w:type="dxa"/>
            <w:tcBorders>
              <w:top w:val="nil"/>
              <w:left w:val="nil"/>
              <w:bottom w:val="nil"/>
              <w:right w:val="nil"/>
            </w:tcBorders>
            <w:shd w:val="clear" w:color="auto" w:fill="auto"/>
            <w:noWrap/>
            <w:vAlign w:val="bottom"/>
            <w:hideMark/>
          </w:tcPr>
          <w:p w:rsidR="00B820D5" w:rsidRPr="00B820D5" w:rsidRDefault="00B820D5" w:rsidP="00B820D5">
            <w:pPr>
              <w:spacing w:after="0"/>
              <w:ind w:firstLineChars="100" w:firstLine="220"/>
              <w:jc w:val="left"/>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Hoitopäivät</w:t>
            </w:r>
          </w:p>
        </w:tc>
        <w:tc>
          <w:tcPr>
            <w:tcW w:w="892"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337269</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332573</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318617</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304287</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287357</w:t>
            </w:r>
          </w:p>
        </w:tc>
        <w:tc>
          <w:tcPr>
            <w:tcW w:w="814"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272811</w:t>
            </w:r>
          </w:p>
        </w:tc>
        <w:tc>
          <w:tcPr>
            <w:tcW w:w="1416"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Pr>
                <w:rFonts w:ascii="Calibri" w:hAnsi="Calibri" w:cs="Calibri"/>
                <w:color w:val="000000"/>
                <w:sz w:val="22"/>
              </w:rPr>
              <w:t>-4 %</w:t>
            </w:r>
          </w:p>
        </w:tc>
      </w:tr>
      <w:tr w:rsidR="00B820D5" w:rsidRPr="00B820D5" w:rsidTr="00540F34">
        <w:trPr>
          <w:trHeight w:val="291"/>
        </w:trPr>
        <w:tc>
          <w:tcPr>
            <w:tcW w:w="2952" w:type="dxa"/>
            <w:tcBorders>
              <w:top w:val="nil"/>
              <w:left w:val="nil"/>
              <w:bottom w:val="single" w:sz="4" w:space="0" w:color="95B3D7"/>
              <w:right w:val="nil"/>
            </w:tcBorders>
            <w:shd w:val="clear" w:color="auto" w:fill="auto"/>
            <w:noWrap/>
            <w:vAlign w:val="bottom"/>
            <w:hideMark/>
          </w:tcPr>
          <w:p w:rsidR="00B820D5" w:rsidRPr="00B820D5" w:rsidRDefault="00B820D5" w:rsidP="00B820D5">
            <w:pPr>
              <w:spacing w:after="0"/>
              <w:jc w:val="left"/>
              <w:rPr>
                <w:rFonts w:ascii="Calibri" w:eastAsia="Times New Roman" w:hAnsi="Calibri" w:cs="Calibri"/>
                <w:b/>
                <w:bCs/>
                <w:color w:val="000000"/>
                <w:sz w:val="22"/>
                <w:lang w:eastAsia="fi-FI"/>
              </w:rPr>
            </w:pPr>
            <w:r w:rsidRPr="00B820D5">
              <w:rPr>
                <w:rFonts w:ascii="Calibri" w:eastAsia="Times New Roman" w:hAnsi="Calibri" w:cs="Calibri"/>
                <w:b/>
                <w:bCs/>
                <w:color w:val="000000"/>
                <w:sz w:val="22"/>
                <w:lang w:eastAsia="fi-FI"/>
              </w:rPr>
              <w:t>P</w:t>
            </w:r>
            <w:r>
              <w:rPr>
                <w:rFonts w:ascii="Calibri" w:eastAsia="Times New Roman" w:hAnsi="Calibri" w:cs="Calibri"/>
                <w:b/>
                <w:bCs/>
                <w:color w:val="000000"/>
                <w:sz w:val="22"/>
                <w:lang w:eastAsia="fi-FI"/>
              </w:rPr>
              <w:t>erusterveydenhuolto</w:t>
            </w:r>
          </w:p>
        </w:tc>
        <w:tc>
          <w:tcPr>
            <w:tcW w:w="892" w:type="dxa"/>
            <w:tcBorders>
              <w:top w:val="nil"/>
              <w:left w:val="nil"/>
              <w:bottom w:val="single" w:sz="4" w:space="0" w:color="95B3D7"/>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p>
        </w:tc>
        <w:tc>
          <w:tcPr>
            <w:tcW w:w="891" w:type="dxa"/>
            <w:tcBorders>
              <w:top w:val="nil"/>
              <w:left w:val="nil"/>
              <w:bottom w:val="single" w:sz="4" w:space="0" w:color="95B3D7"/>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p>
        </w:tc>
        <w:tc>
          <w:tcPr>
            <w:tcW w:w="891" w:type="dxa"/>
            <w:tcBorders>
              <w:top w:val="nil"/>
              <w:left w:val="nil"/>
              <w:bottom w:val="single" w:sz="4" w:space="0" w:color="95B3D7"/>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p>
        </w:tc>
        <w:tc>
          <w:tcPr>
            <w:tcW w:w="891" w:type="dxa"/>
            <w:tcBorders>
              <w:top w:val="nil"/>
              <w:left w:val="nil"/>
              <w:bottom w:val="single" w:sz="4" w:space="0" w:color="95B3D7"/>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p>
        </w:tc>
        <w:tc>
          <w:tcPr>
            <w:tcW w:w="891" w:type="dxa"/>
            <w:tcBorders>
              <w:top w:val="nil"/>
              <w:left w:val="nil"/>
              <w:bottom w:val="single" w:sz="4" w:space="0" w:color="95B3D7"/>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p>
        </w:tc>
        <w:tc>
          <w:tcPr>
            <w:tcW w:w="814" w:type="dxa"/>
            <w:tcBorders>
              <w:top w:val="nil"/>
              <w:left w:val="nil"/>
              <w:bottom w:val="single" w:sz="4" w:space="0" w:color="95B3D7"/>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p>
        </w:tc>
        <w:tc>
          <w:tcPr>
            <w:tcW w:w="1416" w:type="dxa"/>
            <w:tcBorders>
              <w:top w:val="nil"/>
              <w:left w:val="nil"/>
              <w:bottom w:val="single" w:sz="4" w:space="0" w:color="95B3D7"/>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p>
        </w:tc>
      </w:tr>
      <w:tr w:rsidR="00B820D5" w:rsidRPr="00B820D5" w:rsidTr="00540F34">
        <w:trPr>
          <w:trHeight w:val="291"/>
        </w:trPr>
        <w:tc>
          <w:tcPr>
            <w:tcW w:w="2952" w:type="dxa"/>
            <w:tcBorders>
              <w:top w:val="nil"/>
              <w:left w:val="nil"/>
              <w:bottom w:val="nil"/>
              <w:right w:val="nil"/>
            </w:tcBorders>
            <w:shd w:val="clear" w:color="auto" w:fill="auto"/>
            <w:noWrap/>
            <w:vAlign w:val="bottom"/>
            <w:hideMark/>
          </w:tcPr>
          <w:p w:rsidR="00B820D5" w:rsidRPr="00B820D5" w:rsidRDefault="00B820D5" w:rsidP="00B820D5">
            <w:pPr>
              <w:spacing w:after="0"/>
              <w:ind w:firstLineChars="100" w:firstLine="220"/>
              <w:jc w:val="left"/>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Jaksot</w:t>
            </w:r>
          </w:p>
        </w:tc>
        <w:tc>
          <w:tcPr>
            <w:tcW w:w="892"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16287</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17998</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19313</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19468</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18147</w:t>
            </w:r>
          </w:p>
        </w:tc>
        <w:tc>
          <w:tcPr>
            <w:tcW w:w="814"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19057</w:t>
            </w:r>
          </w:p>
        </w:tc>
        <w:tc>
          <w:tcPr>
            <w:tcW w:w="1416"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Pr>
                <w:rFonts w:ascii="Calibri" w:hAnsi="Calibri" w:cs="Calibri"/>
                <w:color w:val="000000"/>
                <w:sz w:val="22"/>
              </w:rPr>
              <w:t>3 %</w:t>
            </w:r>
          </w:p>
        </w:tc>
      </w:tr>
      <w:tr w:rsidR="00B820D5" w:rsidRPr="00B820D5" w:rsidTr="00540F34">
        <w:trPr>
          <w:trHeight w:val="291"/>
        </w:trPr>
        <w:tc>
          <w:tcPr>
            <w:tcW w:w="2952" w:type="dxa"/>
            <w:tcBorders>
              <w:top w:val="nil"/>
              <w:left w:val="nil"/>
              <w:bottom w:val="nil"/>
              <w:right w:val="nil"/>
            </w:tcBorders>
            <w:shd w:val="clear" w:color="auto" w:fill="auto"/>
            <w:noWrap/>
            <w:vAlign w:val="bottom"/>
            <w:hideMark/>
          </w:tcPr>
          <w:p w:rsidR="00B820D5" w:rsidRPr="00B820D5" w:rsidRDefault="00B820D5" w:rsidP="00B820D5">
            <w:pPr>
              <w:spacing w:after="0"/>
              <w:ind w:firstLineChars="100" w:firstLine="220"/>
              <w:jc w:val="left"/>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Käynnit</w:t>
            </w:r>
          </w:p>
        </w:tc>
        <w:tc>
          <w:tcPr>
            <w:tcW w:w="892"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7689</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8691</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11138</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13094</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13338</w:t>
            </w:r>
          </w:p>
        </w:tc>
        <w:tc>
          <w:tcPr>
            <w:tcW w:w="814"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9840</w:t>
            </w:r>
          </w:p>
        </w:tc>
        <w:tc>
          <w:tcPr>
            <w:tcW w:w="1416"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Pr>
                <w:rFonts w:ascii="Calibri" w:hAnsi="Calibri" w:cs="Calibri"/>
                <w:color w:val="000000"/>
                <w:sz w:val="22"/>
              </w:rPr>
              <w:t>5 %</w:t>
            </w:r>
          </w:p>
        </w:tc>
      </w:tr>
      <w:tr w:rsidR="00B820D5" w:rsidRPr="00B820D5" w:rsidTr="00540F34">
        <w:trPr>
          <w:trHeight w:val="291"/>
        </w:trPr>
        <w:tc>
          <w:tcPr>
            <w:tcW w:w="2952" w:type="dxa"/>
            <w:tcBorders>
              <w:top w:val="nil"/>
              <w:left w:val="nil"/>
              <w:bottom w:val="nil"/>
              <w:right w:val="nil"/>
            </w:tcBorders>
            <w:shd w:val="clear" w:color="auto" w:fill="auto"/>
            <w:noWrap/>
            <w:vAlign w:val="bottom"/>
            <w:hideMark/>
          </w:tcPr>
          <w:p w:rsidR="00B820D5" w:rsidRPr="00B820D5" w:rsidRDefault="00B820D5" w:rsidP="00B820D5">
            <w:pPr>
              <w:spacing w:after="0"/>
              <w:ind w:firstLineChars="100" w:firstLine="220"/>
              <w:jc w:val="left"/>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Hoitopäivät</w:t>
            </w:r>
          </w:p>
        </w:tc>
        <w:tc>
          <w:tcPr>
            <w:tcW w:w="892"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309194</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336671</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345928</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336346</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310330</w:t>
            </w:r>
          </w:p>
        </w:tc>
        <w:tc>
          <w:tcPr>
            <w:tcW w:w="814"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321432</w:t>
            </w:r>
          </w:p>
        </w:tc>
        <w:tc>
          <w:tcPr>
            <w:tcW w:w="1416"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Pr>
                <w:rFonts w:ascii="Calibri" w:hAnsi="Calibri" w:cs="Calibri"/>
                <w:color w:val="000000"/>
                <w:sz w:val="22"/>
              </w:rPr>
              <w:t>1 %</w:t>
            </w:r>
          </w:p>
        </w:tc>
      </w:tr>
      <w:tr w:rsidR="00B820D5" w:rsidRPr="00B820D5" w:rsidTr="00540F34">
        <w:trPr>
          <w:trHeight w:val="291"/>
        </w:trPr>
        <w:tc>
          <w:tcPr>
            <w:tcW w:w="2952" w:type="dxa"/>
            <w:tcBorders>
              <w:top w:val="nil"/>
              <w:left w:val="nil"/>
              <w:bottom w:val="single" w:sz="4" w:space="0" w:color="95B3D7"/>
              <w:right w:val="nil"/>
            </w:tcBorders>
            <w:shd w:val="clear" w:color="auto" w:fill="auto"/>
            <w:noWrap/>
            <w:vAlign w:val="bottom"/>
            <w:hideMark/>
          </w:tcPr>
          <w:p w:rsidR="00B820D5" w:rsidRPr="00B820D5" w:rsidRDefault="00B820D5" w:rsidP="00B820D5">
            <w:pPr>
              <w:spacing w:after="0"/>
              <w:jc w:val="left"/>
              <w:rPr>
                <w:rFonts w:ascii="Calibri" w:eastAsia="Times New Roman" w:hAnsi="Calibri" w:cs="Calibri"/>
                <w:b/>
                <w:bCs/>
                <w:color w:val="000000"/>
                <w:sz w:val="22"/>
                <w:lang w:eastAsia="fi-FI"/>
              </w:rPr>
            </w:pPr>
            <w:r w:rsidRPr="00B820D5">
              <w:rPr>
                <w:rFonts w:ascii="Calibri" w:eastAsia="Times New Roman" w:hAnsi="Calibri" w:cs="Calibri"/>
                <w:b/>
                <w:bCs/>
                <w:color w:val="000000"/>
                <w:sz w:val="22"/>
                <w:lang w:eastAsia="fi-FI"/>
              </w:rPr>
              <w:t>Yksityinen</w:t>
            </w:r>
          </w:p>
        </w:tc>
        <w:tc>
          <w:tcPr>
            <w:tcW w:w="892" w:type="dxa"/>
            <w:tcBorders>
              <w:top w:val="nil"/>
              <w:left w:val="nil"/>
              <w:bottom w:val="single" w:sz="4" w:space="0" w:color="95B3D7"/>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p>
        </w:tc>
        <w:tc>
          <w:tcPr>
            <w:tcW w:w="891" w:type="dxa"/>
            <w:tcBorders>
              <w:top w:val="nil"/>
              <w:left w:val="nil"/>
              <w:bottom w:val="single" w:sz="4" w:space="0" w:color="95B3D7"/>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p>
        </w:tc>
        <w:tc>
          <w:tcPr>
            <w:tcW w:w="891" w:type="dxa"/>
            <w:tcBorders>
              <w:top w:val="nil"/>
              <w:left w:val="nil"/>
              <w:bottom w:val="single" w:sz="4" w:space="0" w:color="95B3D7"/>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p>
        </w:tc>
        <w:tc>
          <w:tcPr>
            <w:tcW w:w="891" w:type="dxa"/>
            <w:tcBorders>
              <w:top w:val="nil"/>
              <w:left w:val="nil"/>
              <w:bottom w:val="single" w:sz="4" w:space="0" w:color="95B3D7"/>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p>
        </w:tc>
        <w:tc>
          <w:tcPr>
            <w:tcW w:w="891" w:type="dxa"/>
            <w:tcBorders>
              <w:top w:val="nil"/>
              <w:left w:val="nil"/>
              <w:bottom w:val="single" w:sz="4" w:space="0" w:color="95B3D7"/>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p>
        </w:tc>
        <w:tc>
          <w:tcPr>
            <w:tcW w:w="814" w:type="dxa"/>
            <w:tcBorders>
              <w:top w:val="nil"/>
              <w:left w:val="nil"/>
              <w:bottom w:val="single" w:sz="4" w:space="0" w:color="95B3D7"/>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p>
        </w:tc>
        <w:tc>
          <w:tcPr>
            <w:tcW w:w="1416" w:type="dxa"/>
            <w:tcBorders>
              <w:top w:val="nil"/>
              <w:left w:val="nil"/>
              <w:bottom w:val="single" w:sz="4" w:space="0" w:color="95B3D7"/>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p>
        </w:tc>
      </w:tr>
      <w:tr w:rsidR="00B820D5" w:rsidRPr="00B820D5" w:rsidTr="00540F34">
        <w:trPr>
          <w:trHeight w:val="291"/>
        </w:trPr>
        <w:tc>
          <w:tcPr>
            <w:tcW w:w="2952" w:type="dxa"/>
            <w:tcBorders>
              <w:top w:val="nil"/>
              <w:left w:val="nil"/>
              <w:bottom w:val="nil"/>
              <w:right w:val="nil"/>
            </w:tcBorders>
            <w:shd w:val="clear" w:color="auto" w:fill="auto"/>
            <w:noWrap/>
            <w:vAlign w:val="bottom"/>
            <w:hideMark/>
          </w:tcPr>
          <w:p w:rsidR="00B820D5" w:rsidRPr="00B820D5" w:rsidRDefault="00B820D5" w:rsidP="00B820D5">
            <w:pPr>
              <w:spacing w:after="0"/>
              <w:ind w:firstLineChars="100" w:firstLine="220"/>
              <w:jc w:val="left"/>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Jaksot</w:t>
            </w:r>
          </w:p>
        </w:tc>
        <w:tc>
          <w:tcPr>
            <w:tcW w:w="892"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1891</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2042</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1707</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1665</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1496</w:t>
            </w:r>
          </w:p>
        </w:tc>
        <w:tc>
          <w:tcPr>
            <w:tcW w:w="814"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1343</w:t>
            </w:r>
          </w:p>
        </w:tc>
        <w:tc>
          <w:tcPr>
            <w:tcW w:w="1416"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Pr>
                <w:rFonts w:ascii="Calibri" w:hAnsi="Calibri" w:cs="Calibri"/>
                <w:color w:val="000000"/>
                <w:sz w:val="22"/>
              </w:rPr>
              <w:t>-7 %</w:t>
            </w:r>
          </w:p>
        </w:tc>
      </w:tr>
      <w:tr w:rsidR="00B820D5" w:rsidRPr="00B820D5" w:rsidTr="00540F34">
        <w:trPr>
          <w:trHeight w:val="291"/>
        </w:trPr>
        <w:tc>
          <w:tcPr>
            <w:tcW w:w="2952" w:type="dxa"/>
            <w:tcBorders>
              <w:top w:val="nil"/>
              <w:left w:val="nil"/>
              <w:bottom w:val="nil"/>
              <w:right w:val="nil"/>
            </w:tcBorders>
            <w:shd w:val="clear" w:color="auto" w:fill="auto"/>
            <w:noWrap/>
            <w:vAlign w:val="bottom"/>
            <w:hideMark/>
          </w:tcPr>
          <w:p w:rsidR="00B820D5" w:rsidRPr="00B820D5" w:rsidRDefault="00B820D5" w:rsidP="00B820D5">
            <w:pPr>
              <w:spacing w:after="0"/>
              <w:ind w:firstLineChars="100" w:firstLine="220"/>
              <w:jc w:val="left"/>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Käynnit</w:t>
            </w:r>
          </w:p>
        </w:tc>
        <w:tc>
          <w:tcPr>
            <w:tcW w:w="892"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868</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0</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9</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0</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485</w:t>
            </w:r>
          </w:p>
        </w:tc>
        <w:tc>
          <w:tcPr>
            <w:tcW w:w="814"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19</w:t>
            </w:r>
          </w:p>
        </w:tc>
        <w:tc>
          <w:tcPr>
            <w:tcW w:w="1416"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Pr>
                <w:rFonts w:ascii="Calibri" w:hAnsi="Calibri" w:cs="Calibri"/>
                <w:color w:val="000000"/>
                <w:sz w:val="22"/>
              </w:rPr>
              <w:t>-53 %</w:t>
            </w:r>
          </w:p>
        </w:tc>
      </w:tr>
      <w:tr w:rsidR="00B820D5" w:rsidRPr="00B820D5" w:rsidTr="00540F34">
        <w:trPr>
          <w:trHeight w:val="291"/>
        </w:trPr>
        <w:tc>
          <w:tcPr>
            <w:tcW w:w="2952" w:type="dxa"/>
            <w:tcBorders>
              <w:top w:val="nil"/>
              <w:left w:val="nil"/>
              <w:bottom w:val="nil"/>
              <w:right w:val="nil"/>
            </w:tcBorders>
            <w:shd w:val="clear" w:color="auto" w:fill="auto"/>
            <w:noWrap/>
            <w:vAlign w:val="bottom"/>
            <w:hideMark/>
          </w:tcPr>
          <w:p w:rsidR="00B820D5" w:rsidRPr="00B820D5" w:rsidRDefault="00B820D5" w:rsidP="00B820D5">
            <w:pPr>
              <w:spacing w:after="0"/>
              <w:ind w:firstLineChars="100" w:firstLine="220"/>
              <w:jc w:val="left"/>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Hoitopäivät</w:t>
            </w:r>
          </w:p>
        </w:tc>
        <w:tc>
          <w:tcPr>
            <w:tcW w:w="892"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30797</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36614</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35591</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35286</w:t>
            </w:r>
          </w:p>
        </w:tc>
        <w:tc>
          <w:tcPr>
            <w:tcW w:w="891"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29168</w:t>
            </w:r>
          </w:p>
        </w:tc>
        <w:tc>
          <w:tcPr>
            <w:tcW w:w="814"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sidRPr="00B820D5">
              <w:rPr>
                <w:rFonts w:ascii="Calibri" w:eastAsia="Times New Roman" w:hAnsi="Calibri" w:cs="Calibri"/>
                <w:color w:val="000000"/>
                <w:sz w:val="22"/>
                <w:lang w:eastAsia="fi-FI"/>
              </w:rPr>
              <w:t>26710</w:t>
            </w:r>
          </w:p>
        </w:tc>
        <w:tc>
          <w:tcPr>
            <w:tcW w:w="1416" w:type="dxa"/>
            <w:tcBorders>
              <w:top w:val="nil"/>
              <w:left w:val="nil"/>
              <w:bottom w:val="nil"/>
              <w:right w:val="nil"/>
            </w:tcBorders>
            <w:shd w:val="clear" w:color="auto" w:fill="auto"/>
            <w:noWrap/>
            <w:vAlign w:val="bottom"/>
            <w:hideMark/>
          </w:tcPr>
          <w:p w:rsidR="00B820D5" w:rsidRPr="00B820D5" w:rsidRDefault="00B820D5" w:rsidP="00540F34">
            <w:pPr>
              <w:spacing w:after="0"/>
              <w:jc w:val="center"/>
              <w:rPr>
                <w:rFonts w:ascii="Calibri" w:eastAsia="Times New Roman" w:hAnsi="Calibri" w:cs="Calibri"/>
                <w:color w:val="000000"/>
                <w:sz w:val="22"/>
                <w:lang w:eastAsia="fi-FI"/>
              </w:rPr>
            </w:pPr>
            <w:r>
              <w:rPr>
                <w:rFonts w:ascii="Calibri" w:hAnsi="Calibri" w:cs="Calibri"/>
                <w:color w:val="000000"/>
                <w:sz w:val="22"/>
              </w:rPr>
              <w:t>-3 %</w:t>
            </w:r>
          </w:p>
        </w:tc>
      </w:tr>
    </w:tbl>
    <w:p w:rsidR="00B820D5" w:rsidRDefault="00B820D5" w:rsidP="00AD437E"/>
    <w:p w:rsidR="00B820D5" w:rsidRDefault="00B820D5" w:rsidP="008C6DFE">
      <w:r>
        <w:t>Hyvänlaatuisista kasvaimista tarkasteltiin erikseen diagnooseja D00-D48</w:t>
      </w:r>
      <w:r w:rsidR="005F2CFA">
        <w:t xml:space="preserve"> (</w:t>
      </w:r>
      <w:r w:rsidR="005F2CFA">
        <w:fldChar w:fldCharType="begin"/>
      </w:r>
      <w:r w:rsidR="005F2CFA">
        <w:instrText xml:space="preserve"> REF _Ref486196097 \h </w:instrText>
      </w:r>
      <w:r w:rsidR="005F2CFA">
        <w:fldChar w:fldCharType="end"/>
      </w:r>
      <w:r w:rsidR="005F2CFA">
        <w:fldChar w:fldCharType="begin"/>
      </w:r>
      <w:r w:rsidR="005F2CFA">
        <w:instrText xml:space="preserve"> REF _Ref486196101 \h </w:instrText>
      </w:r>
      <w:r w:rsidR="005F2CFA">
        <w:fldChar w:fldCharType="separate"/>
      </w:r>
      <w:r w:rsidR="005F2CFA">
        <w:t xml:space="preserve">Taulukko </w:t>
      </w:r>
      <w:r w:rsidR="005F2CFA">
        <w:rPr>
          <w:noProof/>
        </w:rPr>
        <w:t>3</w:t>
      </w:r>
      <w:r w:rsidR="005F2CFA">
        <w:fldChar w:fldCharType="end"/>
      </w:r>
      <w:r w:rsidR="005F2CFA">
        <w:t>)</w:t>
      </w:r>
      <w:r>
        <w:t>.</w:t>
      </w:r>
      <w:r w:rsidR="008C6DFE">
        <w:t xml:space="preserve"> Hoidon kustannukset kasvoivat n. 5 </w:t>
      </w:r>
      <w:r w:rsidR="000E3840">
        <w:t>prosenttia</w:t>
      </w:r>
      <w:r w:rsidR="008C6DFE">
        <w:t xml:space="preserve"> </w:t>
      </w:r>
      <w:r w:rsidR="005F2CFA">
        <w:t xml:space="preserve">vuosittain </w:t>
      </w:r>
      <w:r w:rsidR="008C6DFE">
        <w:t>2009-2014, deflatoituna n</w:t>
      </w:r>
      <w:r w:rsidR="005D03FE">
        <w:t>oin</w:t>
      </w:r>
      <w:r w:rsidR="008C6DFE">
        <w:t xml:space="preserve"> 3 </w:t>
      </w:r>
      <w:r w:rsidR="000E3840">
        <w:t>prosenttia</w:t>
      </w:r>
      <w:r w:rsidR="008C6DFE">
        <w:t xml:space="preserve">. Suurimmat kustannuksia aiheuttavat ryhmät olivat suuontelon ja muiden ruuansulatuselinten kasvutaipumukseltaan epäselvät tai tuntemattomat kasvaimet (D37), keskushermostokalvojen </w:t>
      </w:r>
      <w:r w:rsidR="008C6DFE">
        <w:lastRenderedPageBreak/>
        <w:t>hyvänlaatuinen kasvain (D32) sekä virtsaelinten kasvutaipumukseltaan epäselvät tai tuntemattomat kasvaimet (D41)</w:t>
      </w:r>
    </w:p>
    <w:p w:rsidR="008C6DFE" w:rsidRDefault="008C6DFE" w:rsidP="00803D8D">
      <w:pPr>
        <w:pStyle w:val="Caption"/>
      </w:pPr>
      <w:bookmarkStart w:id="2" w:name="_Ref486196101"/>
      <w:r>
        <w:t xml:space="preserve">Taulukko </w:t>
      </w:r>
      <w:fldSimple w:instr=" SEQ Taulukko \* ARABIC ">
        <w:r w:rsidR="00976D54">
          <w:rPr>
            <w:noProof/>
          </w:rPr>
          <w:t>3</w:t>
        </w:r>
      </w:fldSimple>
      <w:bookmarkEnd w:id="2"/>
      <w:r>
        <w:t xml:space="preserve">. Hyvänlaatuisten kasvainten (D00-D48) hoidon </w:t>
      </w:r>
      <w:r w:rsidR="007D63E2">
        <w:t xml:space="preserve">nimelliset </w:t>
      </w:r>
      <w:r>
        <w:t>kustannukset 2009-2014</w:t>
      </w:r>
      <w:r w:rsidR="00D04281">
        <w:t xml:space="preserve"> miljoonaa euroa</w:t>
      </w:r>
      <w:r>
        <w:t>.</w:t>
      </w:r>
    </w:p>
    <w:tbl>
      <w:tblPr>
        <w:tblW w:w="9638" w:type="dxa"/>
        <w:tblCellMar>
          <w:left w:w="70" w:type="dxa"/>
          <w:right w:w="70" w:type="dxa"/>
        </w:tblCellMar>
        <w:tblLook w:val="04A0" w:firstRow="1" w:lastRow="0" w:firstColumn="1" w:lastColumn="0" w:noHBand="0" w:noVBand="1"/>
      </w:tblPr>
      <w:tblGrid>
        <w:gridCol w:w="2965"/>
        <w:gridCol w:w="902"/>
        <w:gridCol w:w="902"/>
        <w:gridCol w:w="902"/>
        <w:gridCol w:w="902"/>
        <w:gridCol w:w="902"/>
        <w:gridCol w:w="747"/>
        <w:gridCol w:w="1416"/>
      </w:tblGrid>
      <w:tr w:rsidR="00540F34" w:rsidRPr="00B820D5" w:rsidTr="00540F34">
        <w:trPr>
          <w:trHeight w:val="288"/>
        </w:trPr>
        <w:tc>
          <w:tcPr>
            <w:tcW w:w="2965" w:type="dxa"/>
            <w:tcBorders>
              <w:top w:val="nil"/>
              <w:left w:val="nil"/>
              <w:bottom w:val="single" w:sz="4" w:space="0" w:color="95B3D7"/>
              <w:right w:val="nil"/>
            </w:tcBorders>
            <w:shd w:val="clear" w:color="DCE6F1" w:fill="DCE6F1"/>
            <w:noWrap/>
            <w:vAlign w:val="bottom"/>
            <w:hideMark/>
          </w:tcPr>
          <w:p w:rsidR="00B820D5" w:rsidRPr="00B820D5" w:rsidRDefault="00B820D5" w:rsidP="002E6890">
            <w:pPr>
              <w:spacing w:after="0"/>
              <w:jc w:val="left"/>
              <w:rPr>
                <w:rFonts w:ascii="Calibri" w:eastAsia="Times New Roman" w:hAnsi="Calibri" w:cs="Calibri"/>
                <w:b/>
                <w:bCs/>
                <w:color w:val="000000"/>
                <w:sz w:val="22"/>
                <w:lang w:eastAsia="fi-FI"/>
              </w:rPr>
            </w:pPr>
            <w:r>
              <w:rPr>
                <w:rFonts w:ascii="Calibri" w:eastAsia="Times New Roman" w:hAnsi="Calibri" w:cs="Calibri"/>
                <w:b/>
                <w:bCs/>
                <w:color w:val="000000"/>
                <w:sz w:val="22"/>
                <w:lang w:eastAsia="fi-FI"/>
              </w:rPr>
              <w:t>Vuosi</w:t>
            </w:r>
          </w:p>
        </w:tc>
        <w:tc>
          <w:tcPr>
            <w:tcW w:w="902" w:type="dxa"/>
            <w:tcBorders>
              <w:top w:val="nil"/>
              <w:left w:val="nil"/>
              <w:bottom w:val="single" w:sz="4" w:space="0" w:color="95B3D7"/>
              <w:right w:val="nil"/>
            </w:tcBorders>
            <w:shd w:val="clear" w:color="DCE6F1" w:fill="DCE6F1"/>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r w:rsidRPr="00B820D5">
              <w:rPr>
                <w:rFonts w:ascii="Calibri" w:eastAsia="Times New Roman" w:hAnsi="Calibri" w:cs="Calibri"/>
                <w:b/>
                <w:bCs/>
                <w:color w:val="000000"/>
                <w:sz w:val="22"/>
                <w:lang w:eastAsia="fi-FI"/>
              </w:rPr>
              <w:t>2009</w:t>
            </w:r>
          </w:p>
        </w:tc>
        <w:tc>
          <w:tcPr>
            <w:tcW w:w="902" w:type="dxa"/>
            <w:tcBorders>
              <w:top w:val="nil"/>
              <w:left w:val="nil"/>
              <w:bottom w:val="single" w:sz="4" w:space="0" w:color="95B3D7"/>
              <w:right w:val="nil"/>
            </w:tcBorders>
            <w:shd w:val="clear" w:color="DCE6F1" w:fill="DCE6F1"/>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r w:rsidRPr="00B820D5">
              <w:rPr>
                <w:rFonts w:ascii="Calibri" w:eastAsia="Times New Roman" w:hAnsi="Calibri" w:cs="Calibri"/>
                <w:b/>
                <w:bCs/>
                <w:color w:val="000000"/>
                <w:sz w:val="22"/>
                <w:lang w:eastAsia="fi-FI"/>
              </w:rPr>
              <w:t>2010</w:t>
            </w:r>
          </w:p>
        </w:tc>
        <w:tc>
          <w:tcPr>
            <w:tcW w:w="902" w:type="dxa"/>
            <w:tcBorders>
              <w:top w:val="nil"/>
              <w:left w:val="nil"/>
              <w:bottom w:val="single" w:sz="4" w:space="0" w:color="95B3D7"/>
              <w:right w:val="nil"/>
            </w:tcBorders>
            <w:shd w:val="clear" w:color="DCE6F1" w:fill="DCE6F1"/>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r w:rsidRPr="00B820D5">
              <w:rPr>
                <w:rFonts w:ascii="Calibri" w:eastAsia="Times New Roman" w:hAnsi="Calibri" w:cs="Calibri"/>
                <w:b/>
                <w:bCs/>
                <w:color w:val="000000"/>
                <w:sz w:val="22"/>
                <w:lang w:eastAsia="fi-FI"/>
              </w:rPr>
              <w:t>2011</w:t>
            </w:r>
          </w:p>
        </w:tc>
        <w:tc>
          <w:tcPr>
            <w:tcW w:w="902" w:type="dxa"/>
            <w:tcBorders>
              <w:top w:val="nil"/>
              <w:left w:val="nil"/>
              <w:bottom w:val="single" w:sz="4" w:space="0" w:color="95B3D7"/>
              <w:right w:val="nil"/>
            </w:tcBorders>
            <w:shd w:val="clear" w:color="DCE6F1" w:fill="DCE6F1"/>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r w:rsidRPr="00B820D5">
              <w:rPr>
                <w:rFonts w:ascii="Calibri" w:eastAsia="Times New Roman" w:hAnsi="Calibri" w:cs="Calibri"/>
                <w:b/>
                <w:bCs/>
                <w:color w:val="000000"/>
                <w:sz w:val="22"/>
                <w:lang w:eastAsia="fi-FI"/>
              </w:rPr>
              <w:t>2012</w:t>
            </w:r>
          </w:p>
        </w:tc>
        <w:tc>
          <w:tcPr>
            <w:tcW w:w="902" w:type="dxa"/>
            <w:tcBorders>
              <w:top w:val="nil"/>
              <w:left w:val="nil"/>
              <w:bottom w:val="single" w:sz="4" w:space="0" w:color="95B3D7"/>
              <w:right w:val="nil"/>
            </w:tcBorders>
            <w:shd w:val="clear" w:color="DCE6F1" w:fill="DCE6F1"/>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r w:rsidRPr="00B820D5">
              <w:rPr>
                <w:rFonts w:ascii="Calibri" w:eastAsia="Times New Roman" w:hAnsi="Calibri" w:cs="Calibri"/>
                <w:b/>
                <w:bCs/>
                <w:color w:val="000000"/>
                <w:sz w:val="22"/>
                <w:lang w:eastAsia="fi-FI"/>
              </w:rPr>
              <w:t>2013</w:t>
            </w:r>
          </w:p>
        </w:tc>
        <w:tc>
          <w:tcPr>
            <w:tcW w:w="747" w:type="dxa"/>
            <w:tcBorders>
              <w:top w:val="nil"/>
              <w:left w:val="nil"/>
              <w:bottom w:val="single" w:sz="4" w:space="0" w:color="95B3D7"/>
              <w:right w:val="nil"/>
            </w:tcBorders>
            <w:shd w:val="clear" w:color="DCE6F1" w:fill="DCE6F1"/>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r w:rsidRPr="00B820D5">
              <w:rPr>
                <w:rFonts w:ascii="Calibri" w:eastAsia="Times New Roman" w:hAnsi="Calibri" w:cs="Calibri"/>
                <w:b/>
                <w:bCs/>
                <w:color w:val="000000"/>
                <w:sz w:val="22"/>
                <w:lang w:eastAsia="fi-FI"/>
              </w:rPr>
              <w:t>2014</w:t>
            </w:r>
          </w:p>
        </w:tc>
        <w:tc>
          <w:tcPr>
            <w:tcW w:w="1416" w:type="dxa"/>
            <w:tcBorders>
              <w:top w:val="nil"/>
              <w:left w:val="nil"/>
              <w:bottom w:val="single" w:sz="4" w:space="0" w:color="95B3D7"/>
              <w:right w:val="nil"/>
            </w:tcBorders>
            <w:shd w:val="clear" w:color="DCE6F1" w:fill="DCE6F1"/>
            <w:noWrap/>
            <w:vAlign w:val="bottom"/>
            <w:hideMark/>
          </w:tcPr>
          <w:p w:rsidR="00B820D5" w:rsidRPr="00B820D5" w:rsidRDefault="00B820D5" w:rsidP="00540F34">
            <w:pPr>
              <w:spacing w:after="0"/>
              <w:jc w:val="center"/>
              <w:rPr>
                <w:rFonts w:ascii="Calibri" w:eastAsia="Times New Roman" w:hAnsi="Calibri" w:cs="Calibri"/>
                <w:b/>
                <w:bCs/>
                <w:color w:val="000000"/>
                <w:sz w:val="22"/>
                <w:lang w:eastAsia="fi-FI"/>
              </w:rPr>
            </w:pPr>
            <w:r>
              <w:rPr>
                <w:rFonts w:ascii="Calibri" w:eastAsia="Times New Roman" w:hAnsi="Calibri" w:cs="Calibri"/>
                <w:b/>
                <w:bCs/>
                <w:color w:val="000000"/>
                <w:sz w:val="22"/>
                <w:lang w:eastAsia="fi-FI"/>
              </w:rPr>
              <w:t>Vuosimuutos</w:t>
            </w:r>
          </w:p>
        </w:tc>
      </w:tr>
      <w:tr w:rsidR="008C6DFE" w:rsidRPr="00B820D5" w:rsidTr="00540F34">
        <w:trPr>
          <w:trHeight w:val="288"/>
        </w:trPr>
        <w:tc>
          <w:tcPr>
            <w:tcW w:w="2965" w:type="dxa"/>
            <w:tcBorders>
              <w:top w:val="nil"/>
              <w:left w:val="nil"/>
              <w:bottom w:val="nil"/>
              <w:right w:val="nil"/>
            </w:tcBorders>
            <w:shd w:val="clear" w:color="auto" w:fill="auto"/>
            <w:noWrap/>
            <w:vAlign w:val="bottom"/>
            <w:hideMark/>
          </w:tcPr>
          <w:p w:rsidR="008C6DFE" w:rsidRPr="00B820D5" w:rsidRDefault="008C6DFE" w:rsidP="008C6DFE">
            <w:pPr>
              <w:spacing w:after="0"/>
              <w:ind w:firstLineChars="100" w:firstLine="220"/>
              <w:jc w:val="left"/>
              <w:rPr>
                <w:rFonts w:ascii="Calibri" w:eastAsia="Times New Roman" w:hAnsi="Calibri" w:cs="Calibri"/>
                <w:color w:val="000000"/>
                <w:sz w:val="22"/>
                <w:lang w:eastAsia="fi-FI"/>
              </w:rPr>
            </w:pPr>
            <w:r>
              <w:rPr>
                <w:rFonts w:ascii="Calibri" w:eastAsia="Times New Roman" w:hAnsi="Calibri" w:cs="Calibri"/>
                <w:color w:val="000000"/>
                <w:sz w:val="22"/>
                <w:lang w:eastAsia="fi-FI"/>
              </w:rPr>
              <w:t>Hoidon kustannukset</w:t>
            </w:r>
          </w:p>
        </w:tc>
        <w:tc>
          <w:tcPr>
            <w:tcW w:w="902" w:type="dxa"/>
            <w:tcBorders>
              <w:top w:val="nil"/>
              <w:left w:val="nil"/>
              <w:bottom w:val="nil"/>
              <w:right w:val="nil"/>
            </w:tcBorders>
            <w:shd w:val="clear" w:color="auto" w:fill="auto"/>
            <w:noWrap/>
            <w:vAlign w:val="bottom"/>
            <w:hideMark/>
          </w:tcPr>
          <w:p w:rsidR="008C6DFE" w:rsidRPr="00B820D5" w:rsidRDefault="008C6DFE" w:rsidP="00540F34">
            <w:pPr>
              <w:spacing w:after="0"/>
              <w:jc w:val="center"/>
              <w:rPr>
                <w:rFonts w:ascii="Calibri" w:eastAsia="Times New Roman" w:hAnsi="Calibri" w:cs="Calibri"/>
                <w:color w:val="000000"/>
                <w:sz w:val="22"/>
                <w:lang w:eastAsia="fi-FI"/>
              </w:rPr>
            </w:pPr>
            <w:r>
              <w:rPr>
                <w:rFonts w:ascii="Calibri" w:hAnsi="Calibri" w:cs="Calibri"/>
                <w:color w:val="000000"/>
                <w:sz w:val="22"/>
              </w:rPr>
              <w:t>100,0</w:t>
            </w:r>
          </w:p>
        </w:tc>
        <w:tc>
          <w:tcPr>
            <w:tcW w:w="902" w:type="dxa"/>
            <w:tcBorders>
              <w:top w:val="nil"/>
              <w:left w:val="nil"/>
              <w:bottom w:val="nil"/>
              <w:right w:val="nil"/>
            </w:tcBorders>
            <w:shd w:val="clear" w:color="auto" w:fill="auto"/>
            <w:noWrap/>
            <w:vAlign w:val="bottom"/>
            <w:hideMark/>
          </w:tcPr>
          <w:p w:rsidR="008C6DFE" w:rsidRPr="00B820D5" w:rsidRDefault="008C6DFE" w:rsidP="00540F34">
            <w:pPr>
              <w:spacing w:after="0"/>
              <w:jc w:val="center"/>
              <w:rPr>
                <w:rFonts w:ascii="Calibri" w:eastAsia="Times New Roman" w:hAnsi="Calibri" w:cs="Calibri"/>
                <w:color w:val="000000"/>
                <w:sz w:val="22"/>
                <w:lang w:eastAsia="fi-FI"/>
              </w:rPr>
            </w:pPr>
            <w:r>
              <w:rPr>
                <w:rFonts w:ascii="Calibri" w:hAnsi="Calibri" w:cs="Calibri"/>
                <w:color w:val="000000"/>
                <w:sz w:val="22"/>
              </w:rPr>
              <w:t>106,2</w:t>
            </w:r>
          </w:p>
        </w:tc>
        <w:tc>
          <w:tcPr>
            <w:tcW w:w="902" w:type="dxa"/>
            <w:tcBorders>
              <w:top w:val="nil"/>
              <w:left w:val="nil"/>
              <w:bottom w:val="nil"/>
              <w:right w:val="nil"/>
            </w:tcBorders>
            <w:shd w:val="clear" w:color="auto" w:fill="auto"/>
            <w:noWrap/>
            <w:vAlign w:val="bottom"/>
            <w:hideMark/>
          </w:tcPr>
          <w:p w:rsidR="008C6DFE" w:rsidRPr="00B820D5" w:rsidRDefault="008C6DFE" w:rsidP="00540F34">
            <w:pPr>
              <w:spacing w:after="0"/>
              <w:jc w:val="center"/>
              <w:rPr>
                <w:rFonts w:ascii="Calibri" w:eastAsia="Times New Roman" w:hAnsi="Calibri" w:cs="Calibri"/>
                <w:color w:val="000000"/>
                <w:sz w:val="22"/>
                <w:lang w:eastAsia="fi-FI"/>
              </w:rPr>
            </w:pPr>
            <w:r>
              <w:rPr>
                <w:rFonts w:ascii="Calibri" w:hAnsi="Calibri" w:cs="Calibri"/>
                <w:color w:val="000000"/>
                <w:sz w:val="22"/>
              </w:rPr>
              <w:t>108,9</w:t>
            </w:r>
          </w:p>
        </w:tc>
        <w:tc>
          <w:tcPr>
            <w:tcW w:w="902" w:type="dxa"/>
            <w:tcBorders>
              <w:top w:val="nil"/>
              <w:left w:val="nil"/>
              <w:bottom w:val="nil"/>
              <w:right w:val="nil"/>
            </w:tcBorders>
            <w:shd w:val="clear" w:color="auto" w:fill="auto"/>
            <w:noWrap/>
            <w:vAlign w:val="bottom"/>
            <w:hideMark/>
          </w:tcPr>
          <w:p w:rsidR="008C6DFE" w:rsidRPr="00B820D5" w:rsidRDefault="008C6DFE" w:rsidP="00540F34">
            <w:pPr>
              <w:spacing w:after="0"/>
              <w:jc w:val="center"/>
              <w:rPr>
                <w:rFonts w:ascii="Calibri" w:eastAsia="Times New Roman" w:hAnsi="Calibri" w:cs="Calibri"/>
                <w:color w:val="000000"/>
                <w:sz w:val="22"/>
                <w:lang w:eastAsia="fi-FI"/>
              </w:rPr>
            </w:pPr>
            <w:r>
              <w:rPr>
                <w:rFonts w:ascii="Calibri" w:hAnsi="Calibri" w:cs="Calibri"/>
                <w:color w:val="000000"/>
                <w:sz w:val="22"/>
              </w:rPr>
              <w:t>115,4</w:t>
            </w:r>
          </w:p>
        </w:tc>
        <w:tc>
          <w:tcPr>
            <w:tcW w:w="902" w:type="dxa"/>
            <w:tcBorders>
              <w:top w:val="nil"/>
              <w:left w:val="nil"/>
              <w:bottom w:val="nil"/>
              <w:right w:val="nil"/>
            </w:tcBorders>
            <w:shd w:val="clear" w:color="auto" w:fill="auto"/>
            <w:noWrap/>
            <w:vAlign w:val="bottom"/>
            <w:hideMark/>
          </w:tcPr>
          <w:p w:rsidR="008C6DFE" w:rsidRPr="00B820D5" w:rsidRDefault="008C6DFE" w:rsidP="00540F34">
            <w:pPr>
              <w:spacing w:after="0"/>
              <w:jc w:val="center"/>
              <w:rPr>
                <w:rFonts w:ascii="Calibri" w:eastAsia="Times New Roman" w:hAnsi="Calibri" w:cs="Calibri"/>
                <w:color w:val="000000"/>
                <w:sz w:val="22"/>
                <w:lang w:eastAsia="fi-FI"/>
              </w:rPr>
            </w:pPr>
            <w:r>
              <w:rPr>
                <w:rFonts w:ascii="Calibri" w:hAnsi="Calibri" w:cs="Calibri"/>
                <w:color w:val="000000"/>
                <w:sz w:val="22"/>
              </w:rPr>
              <w:t>119,6</w:t>
            </w:r>
          </w:p>
        </w:tc>
        <w:tc>
          <w:tcPr>
            <w:tcW w:w="747" w:type="dxa"/>
            <w:tcBorders>
              <w:top w:val="nil"/>
              <w:left w:val="nil"/>
              <w:bottom w:val="nil"/>
              <w:right w:val="nil"/>
            </w:tcBorders>
            <w:shd w:val="clear" w:color="auto" w:fill="auto"/>
            <w:noWrap/>
            <w:vAlign w:val="bottom"/>
            <w:hideMark/>
          </w:tcPr>
          <w:p w:rsidR="008C6DFE" w:rsidRPr="00B820D5" w:rsidRDefault="008C6DFE" w:rsidP="00540F34">
            <w:pPr>
              <w:spacing w:after="0"/>
              <w:jc w:val="center"/>
              <w:rPr>
                <w:rFonts w:ascii="Calibri" w:eastAsia="Times New Roman" w:hAnsi="Calibri" w:cs="Calibri"/>
                <w:color w:val="000000"/>
                <w:sz w:val="22"/>
                <w:lang w:eastAsia="fi-FI"/>
              </w:rPr>
            </w:pPr>
            <w:r>
              <w:rPr>
                <w:rFonts w:ascii="Calibri" w:hAnsi="Calibri" w:cs="Calibri"/>
                <w:color w:val="000000"/>
                <w:sz w:val="22"/>
              </w:rPr>
              <w:t>125,8</w:t>
            </w:r>
          </w:p>
        </w:tc>
        <w:tc>
          <w:tcPr>
            <w:tcW w:w="1416" w:type="dxa"/>
            <w:tcBorders>
              <w:top w:val="nil"/>
              <w:left w:val="nil"/>
              <w:bottom w:val="nil"/>
              <w:right w:val="nil"/>
            </w:tcBorders>
            <w:shd w:val="clear" w:color="auto" w:fill="auto"/>
            <w:noWrap/>
            <w:vAlign w:val="bottom"/>
            <w:hideMark/>
          </w:tcPr>
          <w:p w:rsidR="008C6DFE" w:rsidRPr="00B820D5" w:rsidRDefault="008C6DFE" w:rsidP="00540F34">
            <w:pPr>
              <w:spacing w:after="0"/>
              <w:jc w:val="center"/>
              <w:rPr>
                <w:rFonts w:ascii="Calibri" w:eastAsia="Times New Roman" w:hAnsi="Calibri" w:cs="Calibri"/>
                <w:color w:val="000000"/>
                <w:sz w:val="22"/>
                <w:lang w:eastAsia="fi-FI"/>
              </w:rPr>
            </w:pPr>
            <w:r>
              <w:rPr>
                <w:rFonts w:ascii="Calibri" w:hAnsi="Calibri" w:cs="Calibri"/>
                <w:color w:val="000000"/>
                <w:sz w:val="22"/>
              </w:rPr>
              <w:t>5 %</w:t>
            </w:r>
          </w:p>
        </w:tc>
      </w:tr>
      <w:tr w:rsidR="00CF37C1" w:rsidRPr="00B820D5" w:rsidTr="00803D8D">
        <w:trPr>
          <w:trHeight w:val="288"/>
        </w:trPr>
        <w:tc>
          <w:tcPr>
            <w:tcW w:w="2965" w:type="dxa"/>
            <w:tcBorders>
              <w:top w:val="nil"/>
              <w:left w:val="nil"/>
              <w:right w:val="nil"/>
            </w:tcBorders>
            <w:shd w:val="clear" w:color="auto" w:fill="auto"/>
            <w:noWrap/>
            <w:vAlign w:val="bottom"/>
          </w:tcPr>
          <w:p w:rsidR="00CF37C1" w:rsidRDefault="00D04281" w:rsidP="008C6DFE">
            <w:pPr>
              <w:spacing w:after="0"/>
              <w:ind w:firstLineChars="100" w:firstLine="220"/>
              <w:jc w:val="left"/>
              <w:rPr>
                <w:rFonts w:ascii="Calibri" w:eastAsia="Times New Roman" w:hAnsi="Calibri" w:cs="Calibri"/>
                <w:color w:val="000000"/>
                <w:sz w:val="22"/>
                <w:lang w:eastAsia="fi-FI"/>
              </w:rPr>
            </w:pPr>
            <w:r>
              <w:rPr>
                <w:rFonts w:ascii="Calibri" w:eastAsia="Times New Roman" w:hAnsi="Calibri" w:cs="Calibri"/>
                <w:color w:val="000000"/>
                <w:sz w:val="22"/>
                <w:lang w:eastAsia="fi-FI"/>
              </w:rPr>
              <w:t>Sairauspäivärahat (D10-D36)</w:t>
            </w:r>
          </w:p>
        </w:tc>
        <w:tc>
          <w:tcPr>
            <w:tcW w:w="902" w:type="dxa"/>
            <w:tcBorders>
              <w:top w:val="nil"/>
              <w:left w:val="nil"/>
              <w:right w:val="nil"/>
            </w:tcBorders>
            <w:shd w:val="clear" w:color="auto" w:fill="auto"/>
            <w:noWrap/>
            <w:vAlign w:val="bottom"/>
          </w:tcPr>
          <w:p w:rsidR="00CF37C1" w:rsidRDefault="00D04281" w:rsidP="00540F34">
            <w:pPr>
              <w:spacing w:after="0"/>
              <w:jc w:val="center"/>
              <w:rPr>
                <w:rFonts w:ascii="Calibri" w:hAnsi="Calibri" w:cs="Calibri"/>
                <w:color w:val="000000"/>
                <w:sz w:val="22"/>
              </w:rPr>
            </w:pPr>
            <w:r>
              <w:rPr>
                <w:rFonts w:ascii="Calibri" w:hAnsi="Calibri" w:cs="Calibri"/>
                <w:color w:val="000000"/>
                <w:sz w:val="22"/>
              </w:rPr>
              <w:t>5,3</w:t>
            </w:r>
          </w:p>
        </w:tc>
        <w:tc>
          <w:tcPr>
            <w:tcW w:w="902" w:type="dxa"/>
            <w:tcBorders>
              <w:top w:val="nil"/>
              <w:left w:val="nil"/>
              <w:right w:val="nil"/>
            </w:tcBorders>
            <w:shd w:val="clear" w:color="auto" w:fill="auto"/>
            <w:noWrap/>
            <w:vAlign w:val="bottom"/>
          </w:tcPr>
          <w:p w:rsidR="00CF37C1" w:rsidRDefault="00D04281" w:rsidP="00540F34">
            <w:pPr>
              <w:spacing w:after="0"/>
              <w:jc w:val="center"/>
              <w:rPr>
                <w:rFonts w:ascii="Calibri" w:hAnsi="Calibri" w:cs="Calibri"/>
                <w:color w:val="000000"/>
                <w:sz w:val="22"/>
              </w:rPr>
            </w:pPr>
            <w:r>
              <w:rPr>
                <w:rFonts w:ascii="Calibri" w:hAnsi="Calibri" w:cs="Calibri"/>
                <w:color w:val="000000"/>
                <w:sz w:val="22"/>
              </w:rPr>
              <w:t>5,2</w:t>
            </w:r>
          </w:p>
        </w:tc>
        <w:tc>
          <w:tcPr>
            <w:tcW w:w="902" w:type="dxa"/>
            <w:tcBorders>
              <w:top w:val="nil"/>
              <w:left w:val="nil"/>
              <w:right w:val="nil"/>
            </w:tcBorders>
            <w:shd w:val="clear" w:color="auto" w:fill="auto"/>
            <w:noWrap/>
            <w:vAlign w:val="bottom"/>
          </w:tcPr>
          <w:p w:rsidR="00CF37C1" w:rsidRDefault="00803D8D" w:rsidP="00540F34">
            <w:pPr>
              <w:spacing w:after="0"/>
              <w:jc w:val="center"/>
              <w:rPr>
                <w:rFonts w:ascii="Calibri" w:hAnsi="Calibri" w:cs="Calibri"/>
                <w:color w:val="000000"/>
                <w:sz w:val="22"/>
              </w:rPr>
            </w:pPr>
            <w:r>
              <w:rPr>
                <w:rFonts w:ascii="Calibri" w:hAnsi="Calibri" w:cs="Calibri"/>
                <w:color w:val="000000"/>
                <w:sz w:val="22"/>
              </w:rPr>
              <w:t>5,4</w:t>
            </w:r>
          </w:p>
        </w:tc>
        <w:tc>
          <w:tcPr>
            <w:tcW w:w="902" w:type="dxa"/>
            <w:tcBorders>
              <w:top w:val="nil"/>
              <w:left w:val="nil"/>
              <w:right w:val="nil"/>
            </w:tcBorders>
            <w:shd w:val="clear" w:color="auto" w:fill="auto"/>
            <w:noWrap/>
            <w:vAlign w:val="bottom"/>
          </w:tcPr>
          <w:p w:rsidR="00CF37C1" w:rsidRDefault="00D04281" w:rsidP="00540F34">
            <w:pPr>
              <w:spacing w:after="0"/>
              <w:jc w:val="center"/>
              <w:rPr>
                <w:rFonts w:ascii="Calibri" w:hAnsi="Calibri" w:cs="Calibri"/>
                <w:color w:val="000000"/>
                <w:sz w:val="22"/>
              </w:rPr>
            </w:pPr>
            <w:r>
              <w:rPr>
                <w:rFonts w:ascii="Calibri" w:hAnsi="Calibri" w:cs="Calibri"/>
                <w:color w:val="000000"/>
                <w:sz w:val="22"/>
              </w:rPr>
              <w:t>5,7</w:t>
            </w:r>
          </w:p>
        </w:tc>
        <w:tc>
          <w:tcPr>
            <w:tcW w:w="902" w:type="dxa"/>
            <w:tcBorders>
              <w:top w:val="nil"/>
              <w:left w:val="nil"/>
              <w:right w:val="nil"/>
            </w:tcBorders>
            <w:shd w:val="clear" w:color="auto" w:fill="auto"/>
            <w:noWrap/>
            <w:vAlign w:val="bottom"/>
          </w:tcPr>
          <w:p w:rsidR="00CF37C1" w:rsidRDefault="00D04281" w:rsidP="00540F34">
            <w:pPr>
              <w:spacing w:after="0"/>
              <w:jc w:val="center"/>
              <w:rPr>
                <w:rFonts w:ascii="Calibri" w:hAnsi="Calibri" w:cs="Calibri"/>
                <w:color w:val="000000"/>
                <w:sz w:val="22"/>
              </w:rPr>
            </w:pPr>
            <w:r>
              <w:rPr>
                <w:rFonts w:ascii="Calibri" w:hAnsi="Calibri" w:cs="Calibri"/>
                <w:color w:val="000000"/>
                <w:sz w:val="22"/>
              </w:rPr>
              <w:t>5,3</w:t>
            </w:r>
          </w:p>
        </w:tc>
        <w:tc>
          <w:tcPr>
            <w:tcW w:w="747" w:type="dxa"/>
            <w:tcBorders>
              <w:top w:val="nil"/>
              <w:left w:val="nil"/>
              <w:right w:val="nil"/>
            </w:tcBorders>
            <w:shd w:val="clear" w:color="auto" w:fill="auto"/>
            <w:noWrap/>
            <w:vAlign w:val="bottom"/>
          </w:tcPr>
          <w:p w:rsidR="00CF37C1" w:rsidRDefault="00D04281" w:rsidP="00540F34">
            <w:pPr>
              <w:spacing w:after="0"/>
              <w:jc w:val="center"/>
              <w:rPr>
                <w:rFonts w:ascii="Calibri" w:hAnsi="Calibri" w:cs="Calibri"/>
                <w:color w:val="000000"/>
                <w:sz w:val="22"/>
              </w:rPr>
            </w:pPr>
            <w:r>
              <w:rPr>
                <w:rFonts w:ascii="Calibri" w:hAnsi="Calibri" w:cs="Calibri"/>
                <w:color w:val="000000"/>
                <w:sz w:val="22"/>
              </w:rPr>
              <w:t>5,3</w:t>
            </w:r>
          </w:p>
        </w:tc>
        <w:tc>
          <w:tcPr>
            <w:tcW w:w="1416" w:type="dxa"/>
            <w:tcBorders>
              <w:top w:val="nil"/>
              <w:left w:val="nil"/>
              <w:right w:val="nil"/>
            </w:tcBorders>
            <w:shd w:val="clear" w:color="auto" w:fill="auto"/>
            <w:noWrap/>
            <w:vAlign w:val="bottom"/>
          </w:tcPr>
          <w:p w:rsidR="00CF37C1" w:rsidRDefault="00803D8D" w:rsidP="00540F34">
            <w:pPr>
              <w:spacing w:after="0"/>
              <w:jc w:val="center"/>
              <w:rPr>
                <w:rFonts w:ascii="Calibri" w:hAnsi="Calibri" w:cs="Calibri"/>
                <w:color w:val="000000"/>
                <w:sz w:val="22"/>
              </w:rPr>
            </w:pPr>
            <w:r>
              <w:rPr>
                <w:rFonts w:ascii="Calibri" w:hAnsi="Calibri" w:cs="Calibri"/>
                <w:color w:val="000000"/>
                <w:sz w:val="22"/>
              </w:rPr>
              <w:t>0 %</w:t>
            </w:r>
          </w:p>
        </w:tc>
      </w:tr>
      <w:tr w:rsidR="00803D8D" w:rsidRPr="00803D8D" w:rsidTr="00803D8D">
        <w:trPr>
          <w:trHeight w:val="288"/>
        </w:trPr>
        <w:tc>
          <w:tcPr>
            <w:tcW w:w="2965" w:type="dxa"/>
            <w:tcBorders>
              <w:top w:val="nil"/>
              <w:left w:val="nil"/>
              <w:bottom w:val="single" w:sz="4" w:space="0" w:color="auto"/>
              <w:right w:val="nil"/>
            </w:tcBorders>
            <w:shd w:val="clear" w:color="auto" w:fill="auto"/>
            <w:noWrap/>
            <w:vAlign w:val="bottom"/>
          </w:tcPr>
          <w:p w:rsidR="00803D8D" w:rsidRPr="00803D8D" w:rsidRDefault="00803D8D" w:rsidP="00803D8D">
            <w:pPr>
              <w:spacing w:after="0"/>
              <w:jc w:val="left"/>
              <w:rPr>
                <w:rFonts w:ascii="Calibri" w:eastAsia="Times New Roman" w:hAnsi="Calibri" w:cs="Calibri"/>
                <w:bCs/>
                <w:color w:val="000000"/>
                <w:sz w:val="22"/>
                <w:lang w:eastAsia="fi-FI"/>
              </w:rPr>
            </w:pPr>
            <w:r>
              <w:rPr>
                <w:rFonts w:ascii="Calibri" w:eastAsia="Times New Roman" w:hAnsi="Calibri" w:cs="Calibri"/>
                <w:bCs/>
                <w:color w:val="000000"/>
                <w:sz w:val="22"/>
                <w:lang w:eastAsia="fi-FI"/>
              </w:rPr>
              <w:t xml:space="preserve">  </w:t>
            </w:r>
            <w:r w:rsidRPr="00803D8D">
              <w:rPr>
                <w:rFonts w:ascii="Calibri" w:eastAsia="Times New Roman" w:hAnsi="Calibri" w:cs="Calibri"/>
                <w:bCs/>
                <w:color w:val="000000"/>
                <w:sz w:val="22"/>
                <w:lang w:eastAsia="fi-FI"/>
              </w:rPr>
              <w:t>Erityiskorvatut lääkkeet</w:t>
            </w:r>
          </w:p>
        </w:tc>
        <w:tc>
          <w:tcPr>
            <w:tcW w:w="902" w:type="dxa"/>
            <w:tcBorders>
              <w:top w:val="nil"/>
              <w:left w:val="nil"/>
              <w:bottom w:val="single" w:sz="4" w:space="0" w:color="auto"/>
              <w:right w:val="nil"/>
            </w:tcBorders>
            <w:shd w:val="clear" w:color="auto" w:fill="auto"/>
            <w:noWrap/>
            <w:vAlign w:val="bottom"/>
          </w:tcPr>
          <w:p w:rsidR="00803D8D" w:rsidRPr="00803D8D" w:rsidRDefault="00803D8D" w:rsidP="00803D8D">
            <w:pPr>
              <w:spacing w:after="0"/>
              <w:jc w:val="center"/>
              <w:rPr>
                <w:rFonts w:ascii="Calibri" w:eastAsia="Times New Roman" w:hAnsi="Calibri" w:cs="Calibri"/>
                <w:bCs/>
                <w:color w:val="000000"/>
                <w:sz w:val="22"/>
                <w:lang w:eastAsia="fi-FI"/>
              </w:rPr>
            </w:pPr>
            <w:r w:rsidRPr="00803D8D">
              <w:rPr>
                <w:rFonts w:ascii="Calibri" w:eastAsia="Times New Roman" w:hAnsi="Calibri" w:cs="Calibri"/>
                <w:bCs/>
                <w:color w:val="000000"/>
                <w:sz w:val="22"/>
                <w:lang w:eastAsia="fi-FI"/>
              </w:rPr>
              <w:t>4,7</w:t>
            </w:r>
          </w:p>
        </w:tc>
        <w:tc>
          <w:tcPr>
            <w:tcW w:w="902" w:type="dxa"/>
            <w:tcBorders>
              <w:top w:val="nil"/>
              <w:left w:val="nil"/>
              <w:bottom w:val="single" w:sz="4" w:space="0" w:color="auto"/>
              <w:right w:val="nil"/>
            </w:tcBorders>
            <w:shd w:val="clear" w:color="auto" w:fill="auto"/>
            <w:noWrap/>
            <w:vAlign w:val="bottom"/>
          </w:tcPr>
          <w:p w:rsidR="00803D8D" w:rsidRPr="00803D8D" w:rsidRDefault="00803D8D" w:rsidP="00803D8D">
            <w:pPr>
              <w:spacing w:after="0"/>
              <w:jc w:val="center"/>
              <w:rPr>
                <w:rFonts w:ascii="Calibri" w:eastAsia="Times New Roman" w:hAnsi="Calibri" w:cs="Calibri"/>
                <w:bCs/>
                <w:color w:val="000000"/>
                <w:sz w:val="22"/>
                <w:lang w:eastAsia="fi-FI"/>
              </w:rPr>
            </w:pPr>
            <w:r w:rsidRPr="00803D8D">
              <w:rPr>
                <w:rFonts w:ascii="Calibri" w:eastAsia="Times New Roman" w:hAnsi="Calibri" w:cs="Calibri"/>
                <w:bCs/>
                <w:color w:val="000000"/>
                <w:sz w:val="22"/>
                <w:lang w:eastAsia="fi-FI"/>
              </w:rPr>
              <w:t>5,0</w:t>
            </w:r>
          </w:p>
        </w:tc>
        <w:tc>
          <w:tcPr>
            <w:tcW w:w="902" w:type="dxa"/>
            <w:tcBorders>
              <w:top w:val="nil"/>
              <w:left w:val="nil"/>
              <w:bottom w:val="single" w:sz="4" w:space="0" w:color="auto"/>
              <w:right w:val="nil"/>
            </w:tcBorders>
            <w:shd w:val="clear" w:color="auto" w:fill="auto"/>
            <w:noWrap/>
            <w:vAlign w:val="bottom"/>
          </w:tcPr>
          <w:p w:rsidR="00803D8D" w:rsidRPr="00803D8D" w:rsidRDefault="00803D8D" w:rsidP="00803D8D">
            <w:pPr>
              <w:spacing w:after="0"/>
              <w:jc w:val="center"/>
              <w:rPr>
                <w:rFonts w:ascii="Calibri" w:eastAsia="Times New Roman" w:hAnsi="Calibri" w:cs="Calibri"/>
                <w:bCs/>
                <w:color w:val="000000"/>
                <w:sz w:val="22"/>
                <w:lang w:eastAsia="fi-FI"/>
              </w:rPr>
            </w:pPr>
            <w:r w:rsidRPr="00803D8D">
              <w:rPr>
                <w:rFonts w:ascii="Calibri" w:eastAsia="Times New Roman" w:hAnsi="Calibri" w:cs="Calibri"/>
                <w:bCs/>
                <w:color w:val="000000"/>
                <w:sz w:val="22"/>
                <w:lang w:eastAsia="fi-FI"/>
              </w:rPr>
              <w:t>5,2</w:t>
            </w:r>
          </w:p>
        </w:tc>
        <w:tc>
          <w:tcPr>
            <w:tcW w:w="902" w:type="dxa"/>
            <w:tcBorders>
              <w:top w:val="nil"/>
              <w:left w:val="nil"/>
              <w:bottom w:val="single" w:sz="4" w:space="0" w:color="auto"/>
              <w:right w:val="nil"/>
            </w:tcBorders>
            <w:shd w:val="clear" w:color="auto" w:fill="auto"/>
            <w:noWrap/>
            <w:vAlign w:val="bottom"/>
          </w:tcPr>
          <w:p w:rsidR="00803D8D" w:rsidRPr="00803D8D" w:rsidRDefault="00803D8D" w:rsidP="00803D8D">
            <w:pPr>
              <w:spacing w:after="0"/>
              <w:jc w:val="center"/>
              <w:rPr>
                <w:rFonts w:ascii="Calibri" w:eastAsia="Times New Roman" w:hAnsi="Calibri" w:cs="Calibri"/>
                <w:bCs/>
                <w:color w:val="000000"/>
                <w:sz w:val="22"/>
                <w:lang w:eastAsia="fi-FI"/>
              </w:rPr>
            </w:pPr>
            <w:r w:rsidRPr="00803D8D">
              <w:rPr>
                <w:rFonts w:ascii="Calibri" w:eastAsia="Times New Roman" w:hAnsi="Calibri" w:cs="Calibri"/>
                <w:bCs/>
                <w:color w:val="000000"/>
                <w:sz w:val="22"/>
                <w:lang w:eastAsia="fi-FI"/>
              </w:rPr>
              <w:t>5,7</w:t>
            </w:r>
          </w:p>
        </w:tc>
        <w:tc>
          <w:tcPr>
            <w:tcW w:w="902" w:type="dxa"/>
            <w:tcBorders>
              <w:top w:val="nil"/>
              <w:left w:val="nil"/>
              <w:bottom w:val="single" w:sz="4" w:space="0" w:color="auto"/>
              <w:right w:val="nil"/>
            </w:tcBorders>
            <w:shd w:val="clear" w:color="auto" w:fill="auto"/>
            <w:noWrap/>
            <w:vAlign w:val="bottom"/>
          </w:tcPr>
          <w:p w:rsidR="00803D8D" w:rsidRPr="00803D8D" w:rsidRDefault="00803D8D" w:rsidP="00803D8D">
            <w:pPr>
              <w:spacing w:after="0"/>
              <w:jc w:val="center"/>
              <w:rPr>
                <w:rFonts w:ascii="Calibri" w:eastAsia="Times New Roman" w:hAnsi="Calibri" w:cs="Calibri"/>
                <w:bCs/>
                <w:color w:val="000000"/>
                <w:sz w:val="22"/>
                <w:lang w:eastAsia="fi-FI"/>
              </w:rPr>
            </w:pPr>
            <w:r w:rsidRPr="00803D8D">
              <w:rPr>
                <w:rFonts w:ascii="Calibri" w:eastAsia="Times New Roman" w:hAnsi="Calibri" w:cs="Calibri"/>
                <w:bCs/>
                <w:color w:val="000000"/>
                <w:sz w:val="22"/>
                <w:lang w:eastAsia="fi-FI"/>
              </w:rPr>
              <w:t>5,6</w:t>
            </w:r>
          </w:p>
        </w:tc>
        <w:tc>
          <w:tcPr>
            <w:tcW w:w="747" w:type="dxa"/>
            <w:tcBorders>
              <w:top w:val="nil"/>
              <w:left w:val="nil"/>
              <w:bottom w:val="single" w:sz="4" w:space="0" w:color="auto"/>
              <w:right w:val="nil"/>
            </w:tcBorders>
            <w:shd w:val="clear" w:color="auto" w:fill="auto"/>
            <w:noWrap/>
            <w:vAlign w:val="bottom"/>
          </w:tcPr>
          <w:p w:rsidR="00803D8D" w:rsidRPr="00803D8D" w:rsidRDefault="00803D8D" w:rsidP="00803D8D">
            <w:pPr>
              <w:spacing w:after="0"/>
              <w:jc w:val="center"/>
              <w:rPr>
                <w:rFonts w:ascii="Calibri" w:eastAsia="Times New Roman" w:hAnsi="Calibri" w:cs="Calibri"/>
                <w:bCs/>
                <w:color w:val="000000"/>
                <w:sz w:val="22"/>
                <w:lang w:eastAsia="fi-FI"/>
              </w:rPr>
            </w:pPr>
            <w:r w:rsidRPr="00803D8D">
              <w:rPr>
                <w:rFonts w:ascii="Calibri" w:eastAsia="Times New Roman" w:hAnsi="Calibri" w:cs="Calibri"/>
                <w:bCs/>
                <w:color w:val="000000"/>
                <w:sz w:val="22"/>
                <w:lang w:eastAsia="fi-FI"/>
              </w:rPr>
              <w:t>5,8</w:t>
            </w:r>
          </w:p>
        </w:tc>
        <w:tc>
          <w:tcPr>
            <w:tcW w:w="1416" w:type="dxa"/>
            <w:tcBorders>
              <w:top w:val="nil"/>
              <w:left w:val="nil"/>
              <w:bottom w:val="single" w:sz="4" w:space="0" w:color="auto"/>
              <w:right w:val="nil"/>
            </w:tcBorders>
            <w:shd w:val="clear" w:color="auto" w:fill="auto"/>
            <w:noWrap/>
            <w:vAlign w:val="bottom"/>
          </w:tcPr>
          <w:p w:rsidR="00803D8D" w:rsidRPr="00803D8D" w:rsidRDefault="00803D8D" w:rsidP="00803D8D">
            <w:pPr>
              <w:spacing w:after="0"/>
              <w:jc w:val="center"/>
              <w:rPr>
                <w:rFonts w:ascii="Calibri" w:eastAsia="Times New Roman" w:hAnsi="Calibri" w:cs="Calibri"/>
                <w:bCs/>
                <w:color w:val="000000"/>
                <w:sz w:val="22"/>
                <w:lang w:eastAsia="fi-FI"/>
              </w:rPr>
            </w:pPr>
            <w:r w:rsidRPr="00803D8D">
              <w:rPr>
                <w:rFonts w:ascii="Calibri" w:eastAsia="Times New Roman" w:hAnsi="Calibri" w:cs="Calibri"/>
                <w:bCs/>
                <w:color w:val="000000"/>
                <w:sz w:val="22"/>
                <w:lang w:eastAsia="fi-FI"/>
              </w:rPr>
              <w:t>5 %</w:t>
            </w:r>
          </w:p>
        </w:tc>
      </w:tr>
      <w:tr w:rsidR="00803D8D" w:rsidRPr="00B820D5" w:rsidTr="002E6890">
        <w:trPr>
          <w:trHeight w:val="288"/>
        </w:trPr>
        <w:tc>
          <w:tcPr>
            <w:tcW w:w="2965" w:type="dxa"/>
            <w:tcBorders>
              <w:top w:val="single" w:sz="4" w:space="0" w:color="auto"/>
              <w:left w:val="nil"/>
              <w:bottom w:val="nil"/>
              <w:right w:val="nil"/>
            </w:tcBorders>
            <w:shd w:val="clear" w:color="auto" w:fill="auto"/>
            <w:noWrap/>
            <w:vAlign w:val="bottom"/>
          </w:tcPr>
          <w:p w:rsidR="00803D8D" w:rsidRDefault="00803D8D" w:rsidP="00803D8D">
            <w:pPr>
              <w:spacing w:after="0"/>
              <w:ind w:firstLineChars="100" w:firstLine="220"/>
              <w:jc w:val="left"/>
              <w:rPr>
                <w:rFonts w:ascii="Calibri" w:eastAsia="Times New Roman" w:hAnsi="Calibri" w:cs="Calibri"/>
                <w:color w:val="000000"/>
                <w:sz w:val="22"/>
                <w:lang w:eastAsia="fi-FI"/>
              </w:rPr>
            </w:pPr>
            <w:r>
              <w:rPr>
                <w:rFonts w:ascii="Calibri" w:eastAsia="Times New Roman" w:hAnsi="Calibri" w:cs="Calibri"/>
                <w:color w:val="000000"/>
                <w:sz w:val="22"/>
                <w:lang w:eastAsia="fi-FI"/>
              </w:rPr>
              <w:t>Yhteensä</w:t>
            </w:r>
          </w:p>
        </w:tc>
        <w:tc>
          <w:tcPr>
            <w:tcW w:w="902" w:type="dxa"/>
            <w:tcBorders>
              <w:top w:val="single" w:sz="4" w:space="0" w:color="auto"/>
              <w:left w:val="nil"/>
              <w:bottom w:val="nil"/>
              <w:right w:val="nil"/>
            </w:tcBorders>
            <w:shd w:val="clear" w:color="auto" w:fill="auto"/>
            <w:noWrap/>
            <w:vAlign w:val="center"/>
          </w:tcPr>
          <w:p w:rsidR="00803D8D" w:rsidRPr="00803D8D" w:rsidRDefault="00803D8D" w:rsidP="00803D8D">
            <w:pPr>
              <w:spacing w:after="0"/>
              <w:jc w:val="center"/>
              <w:rPr>
                <w:rFonts w:ascii="Calibri" w:eastAsia="Times New Roman" w:hAnsi="Calibri" w:cs="Calibri"/>
                <w:color w:val="000000"/>
                <w:sz w:val="22"/>
                <w:lang w:eastAsia="fi-FI"/>
              </w:rPr>
            </w:pPr>
            <w:r>
              <w:rPr>
                <w:rFonts w:ascii="Calibri" w:hAnsi="Calibri" w:cs="Calibri"/>
                <w:color w:val="000000"/>
                <w:sz w:val="22"/>
              </w:rPr>
              <w:t>110</w:t>
            </w:r>
          </w:p>
        </w:tc>
        <w:tc>
          <w:tcPr>
            <w:tcW w:w="902" w:type="dxa"/>
            <w:tcBorders>
              <w:top w:val="single" w:sz="4" w:space="0" w:color="auto"/>
              <w:left w:val="nil"/>
              <w:bottom w:val="nil"/>
              <w:right w:val="nil"/>
            </w:tcBorders>
            <w:shd w:val="clear" w:color="auto" w:fill="auto"/>
            <w:noWrap/>
            <w:vAlign w:val="center"/>
          </w:tcPr>
          <w:p w:rsidR="00803D8D" w:rsidRPr="00803D8D" w:rsidRDefault="00803D8D" w:rsidP="00803D8D">
            <w:pPr>
              <w:spacing w:after="0"/>
              <w:jc w:val="center"/>
              <w:rPr>
                <w:rFonts w:ascii="Calibri" w:eastAsia="Times New Roman" w:hAnsi="Calibri" w:cs="Calibri"/>
                <w:color w:val="000000"/>
                <w:sz w:val="22"/>
                <w:lang w:eastAsia="fi-FI"/>
              </w:rPr>
            </w:pPr>
            <w:r>
              <w:rPr>
                <w:rFonts w:ascii="Calibri" w:hAnsi="Calibri" w:cs="Calibri"/>
                <w:color w:val="000000"/>
                <w:sz w:val="22"/>
              </w:rPr>
              <w:t>116,4</w:t>
            </w:r>
          </w:p>
        </w:tc>
        <w:tc>
          <w:tcPr>
            <w:tcW w:w="902" w:type="dxa"/>
            <w:tcBorders>
              <w:top w:val="single" w:sz="4" w:space="0" w:color="auto"/>
              <w:left w:val="nil"/>
              <w:bottom w:val="nil"/>
              <w:right w:val="nil"/>
            </w:tcBorders>
            <w:shd w:val="clear" w:color="auto" w:fill="auto"/>
            <w:noWrap/>
            <w:vAlign w:val="center"/>
          </w:tcPr>
          <w:p w:rsidR="00803D8D" w:rsidRPr="00803D8D" w:rsidRDefault="00803D8D" w:rsidP="00803D8D">
            <w:pPr>
              <w:spacing w:after="0"/>
              <w:jc w:val="center"/>
              <w:rPr>
                <w:rFonts w:ascii="Calibri" w:eastAsia="Times New Roman" w:hAnsi="Calibri" w:cs="Calibri"/>
                <w:color w:val="000000"/>
                <w:sz w:val="22"/>
                <w:lang w:eastAsia="fi-FI"/>
              </w:rPr>
            </w:pPr>
            <w:r>
              <w:rPr>
                <w:rFonts w:ascii="Calibri" w:hAnsi="Calibri" w:cs="Calibri"/>
                <w:color w:val="000000"/>
                <w:sz w:val="22"/>
              </w:rPr>
              <w:t>119,5</w:t>
            </w:r>
          </w:p>
        </w:tc>
        <w:tc>
          <w:tcPr>
            <w:tcW w:w="902" w:type="dxa"/>
            <w:tcBorders>
              <w:top w:val="single" w:sz="4" w:space="0" w:color="auto"/>
              <w:left w:val="nil"/>
              <w:bottom w:val="nil"/>
              <w:right w:val="nil"/>
            </w:tcBorders>
            <w:shd w:val="clear" w:color="auto" w:fill="auto"/>
            <w:noWrap/>
            <w:vAlign w:val="center"/>
          </w:tcPr>
          <w:p w:rsidR="00803D8D" w:rsidRPr="00803D8D" w:rsidRDefault="00803D8D" w:rsidP="00803D8D">
            <w:pPr>
              <w:spacing w:after="0"/>
              <w:jc w:val="center"/>
              <w:rPr>
                <w:rFonts w:ascii="Calibri" w:eastAsia="Times New Roman" w:hAnsi="Calibri" w:cs="Calibri"/>
                <w:color w:val="000000"/>
                <w:sz w:val="22"/>
                <w:lang w:eastAsia="fi-FI"/>
              </w:rPr>
            </w:pPr>
            <w:r>
              <w:rPr>
                <w:rFonts w:ascii="Calibri" w:hAnsi="Calibri" w:cs="Calibri"/>
                <w:color w:val="000000"/>
                <w:sz w:val="22"/>
              </w:rPr>
              <w:t>126,8</w:t>
            </w:r>
          </w:p>
        </w:tc>
        <w:tc>
          <w:tcPr>
            <w:tcW w:w="902" w:type="dxa"/>
            <w:tcBorders>
              <w:top w:val="single" w:sz="4" w:space="0" w:color="auto"/>
              <w:left w:val="nil"/>
              <w:bottom w:val="nil"/>
              <w:right w:val="nil"/>
            </w:tcBorders>
            <w:shd w:val="clear" w:color="auto" w:fill="auto"/>
            <w:noWrap/>
            <w:vAlign w:val="center"/>
          </w:tcPr>
          <w:p w:rsidR="00803D8D" w:rsidRPr="00803D8D" w:rsidRDefault="00803D8D" w:rsidP="00803D8D">
            <w:pPr>
              <w:spacing w:after="0"/>
              <w:jc w:val="center"/>
              <w:rPr>
                <w:rFonts w:ascii="Calibri" w:eastAsia="Times New Roman" w:hAnsi="Calibri" w:cs="Calibri"/>
                <w:color w:val="000000"/>
                <w:sz w:val="22"/>
                <w:lang w:eastAsia="fi-FI"/>
              </w:rPr>
            </w:pPr>
            <w:r>
              <w:rPr>
                <w:rFonts w:ascii="Calibri" w:hAnsi="Calibri" w:cs="Calibri"/>
                <w:color w:val="000000"/>
                <w:sz w:val="22"/>
              </w:rPr>
              <w:t>130,5</w:t>
            </w:r>
          </w:p>
        </w:tc>
        <w:tc>
          <w:tcPr>
            <w:tcW w:w="747" w:type="dxa"/>
            <w:tcBorders>
              <w:top w:val="single" w:sz="4" w:space="0" w:color="auto"/>
              <w:left w:val="nil"/>
              <w:bottom w:val="nil"/>
              <w:right w:val="nil"/>
            </w:tcBorders>
            <w:shd w:val="clear" w:color="auto" w:fill="auto"/>
            <w:noWrap/>
            <w:vAlign w:val="center"/>
          </w:tcPr>
          <w:p w:rsidR="00803D8D" w:rsidRPr="00803D8D" w:rsidRDefault="00803D8D" w:rsidP="00803D8D">
            <w:pPr>
              <w:spacing w:after="0"/>
              <w:jc w:val="center"/>
              <w:rPr>
                <w:rFonts w:ascii="Calibri" w:eastAsia="Times New Roman" w:hAnsi="Calibri" w:cs="Calibri"/>
                <w:color w:val="000000"/>
                <w:sz w:val="22"/>
                <w:lang w:eastAsia="fi-FI"/>
              </w:rPr>
            </w:pPr>
            <w:r>
              <w:rPr>
                <w:rFonts w:ascii="Calibri" w:hAnsi="Calibri" w:cs="Calibri"/>
                <w:color w:val="000000"/>
                <w:sz w:val="22"/>
              </w:rPr>
              <w:t>136,9</w:t>
            </w:r>
          </w:p>
        </w:tc>
        <w:tc>
          <w:tcPr>
            <w:tcW w:w="1416" w:type="dxa"/>
            <w:tcBorders>
              <w:top w:val="single" w:sz="4" w:space="0" w:color="auto"/>
              <w:left w:val="nil"/>
              <w:bottom w:val="nil"/>
              <w:right w:val="nil"/>
            </w:tcBorders>
            <w:shd w:val="clear" w:color="auto" w:fill="auto"/>
            <w:noWrap/>
            <w:vAlign w:val="center"/>
          </w:tcPr>
          <w:p w:rsidR="00803D8D" w:rsidRPr="00803D8D" w:rsidRDefault="00803D8D" w:rsidP="00803D8D">
            <w:pPr>
              <w:spacing w:after="0"/>
              <w:jc w:val="center"/>
              <w:rPr>
                <w:rFonts w:ascii="Calibri" w:eastAsia="Times New Roman" w:hAnsi="Calibri" w:cs="Calibri"/>
                <w:color w:val="000000"/>
                <w:sz w:val="22"/>
                <w:lang w:eastAsia="fi-FI"/>
              </w:rPr>
            </w:pPr>
            <w:r>
              <w:rPr>
                <w:rFonts w:ascii="Calibri" w:hAnsi="Calibri" w:cs="Calibri"/>
                <w:color w:val="000000"/>
                <w:sz w:val="22"/>
              </w:rPr>
              <w:t>5 %</w:t>
            </w:r>
          </w:p>
        </w:tc>
      </w:tr>
    </w:tbl>
    <w:p w:rsidR="00B820D5" w:rsidRDefault="00B820D5" w:rsidP="00AD437E"/>
    <w:p w:rsidR="00B820D5" w:rsidRDefault="00AD437E" w:rsidP="00AD437E">
      <w:r>
        <w:t xml:space="preserve">Kustannuksia on verrattu Mäklinin ja Rissasen (2006) raportissa olleisiin ennusteisiin syövän aiheuttamien kustannusten kehittymisestä (Kuva </w:t>
      </w:r>
      <w:r w:rsidR="005F2CFA">
        <w:t>3</w:t>
      </w:r>
      <w:r>
        <w:t>). Vuosittainen toteutunut kasvuvauhti 2004</w:t>
      </w:r>
      <w:r w:rsidR="005D03FE">
        <w:t>–</w:t>
      </w:r>
      <w:r>
        <w:t>2014 on ollut n</w:t>
      </w:r>
      <w:r w:rsidR="005F2CFA">
        <w:t>.</w:t>
      </w:r>
      <w:r>
        <w:t xml:space="preserve"> 3 </w:t>
      </w:r>
      <w:r w:rsidR="000E3840">
        <w:t>prosenttia</w:t>
      </w:r>
      <w:r>
        <w:t xml:space="preserve"> ja deflatoituna n. 1 </w:t>
      </w:r>
      <w:r w:rsidR="000E3840">
        <w:t>prosentti</w:t>
      </w:r>
      <w:r>
        <w:t>. Toteutunut kustannuskehitys on ollut maltillisempaa kuin ennustetut skenaariot. Parhaiten kustannuskehitystä on ennustanut regressiomalli.</w:t>
      </w:r>
      <w:r w:rsidR="007D63E2">
        <w:t xml:space="preserve"> On huomioitava, että aikaisemmassa tutkimuksessa kaikilta osin ei ollut käytössä yhtä tarkkaa tietoa kuin nyt, minkä vuoksi alla olevassa kuvassa on muutoksia käsitelty vain vertailukelpoisten kustannusten osalta.</w:t>
      </w:r>
      <w:r>
        <w:t xml:space="preserve"> </w:t>
      </w:r>
    </w:p>
    <w:p w:rsidR="00B820D5" w:rsidRDefault="00B820D5" w:rsidP="00AD437E"/>
    <w:p w:rsidR="00AD437E" w:rsidRDefault="007570F7" w:rsidP="00AD437E">
      <w:pPr>
        <w:keepNext/>
      </w:pPr>
      <w:r w:rsidRPr="007570F7">
        <w:rPr>
          <w:noProof/>
          <w:lang w:eastAsia="fi-FI"/>
        </w:rPr>
        <w:drawing>
          <wp:inline distT="0" distB="0" distL="0" distR="0" wp14:anchorId="3A1955DC" wp14:editId="78FFA4D2">
            <wp:extent cx="6120130" cy="25341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534151"/>
                    </a:xfrm>
                    <a:prstGeom prst="rect">
                      <a:avLst/>
                    </a:prstGeom>
                    <a:noFill/>
                    <a:ln>
                      <a:noFill/>
                    </a:ln>
                  </pic:spPr>
                </pic:pic>
              </a:graphicData>
            </a:graphic>
          </wp:inline>
        </w:drawing>
      </w:r>
    </w:p>
    <w:p w:rsidR="00AD437E" w:rsidRDefault="00AD437E" w:rsidP="00AD437E">
      <w:pPr>
        <w:pStyle w:val="Caption"/>
      </w:pPr>
      <w:r>
        <w:t xml:space="preserve">Kuva </w:t>
      </w:r>
      <w:fldSimple w:instr=" SEQ Kuva \* ARABIC ">
        <w:r w:rsidR="00AF6C6F">
          <w:rPr>
            <w:noProof/>
          </w:rPr>
          <w:t>3</w:t>
        </w:r>
      </w:fldSimple>
      <w:r w:rsidR="00976D54">
        <w:t>.</w:t>
      </w:r>
      <w:r>
        <w:t xml:space="preserve"> Toteutunut kustannuskehitys verrattuna Mäklinin ja Rissasen (2006) tutkimuksessa esitettyihin skenaarioihin kustannusten kehittymisestä</w:t>
      </w:r>
    </w:p>
    <w:p w:rsidR="00AD437E" w:rsidRDefault="00AD437E" w:rsidP="00A27423">
      <w:pPr>
        <w:pStyle w:val="Heading2"/>
        <w:numPr>
          <w:ilvl w:val="0"/>
          <w:numId w:val="0"/>
        </w:numPr>
        <w:ind w:left="576" w:hanging="576"/>
      </w:pPr>
    </w:p>
    <w:p w:rsidR="00AD437E" w:rsidRDefault="00AD437E" w:rsidP="00AD437E">
      <w:pPr>
        <w:pStyle w:val="Heading2"/>
      </w:pPr>
      <w:r>
        <w:t>Syöpäpotilaiden määrä ja kustannus per potilas</w:t>
      </w:r>
    </w:p>
    <w:p w:rsidR="000A0AB0" w:rsidRDefault="00561360" w:rsidP="00B868D2">
      <w:r>
        <w:t xml:space="preserve">Kustannusten tarkastelu suhteessa vuosittaisiin uusiin syöpätapauksiin antaa viitteitä siitä, miten potilasmäärän kasvu on vaikuttanut kustannuskehitykseen. </w:t>
      </w:r>
      <w:r w:rsidR="000A0AB0">
        <w:t>Uusien syöpätapausten määrään</w:t>
      </w:r>
      <w:r>
        <w:t xml:space="preserve"> suhteuttaminen tekee myös kustannusten vertailusta eri maiden välillä helpompaa. </w:t>
      </w:r>
      <w:r w:rsidR="007570F7">
        <w:t xml:space="preserve">Potilaiden määrä on kasvanut 1,9 </w:t>
      </w:r>
      <w:r w:rsidR="000E3840">
        <w:t>prosenttia</w:t>
      </w:r>
      <w:r w:rsidR="007570F7">
        <w:t xml:space="preserve"> vuodessa</w:t>
      </w:r>
      <w:r w:rsidR="0073384E">
        <w:t xml:space="preserve"> aikavälillä 2004</w:t>
      </w:r>
      <w:r w:rsidR="005D03FE">
        <w:t>–</w:t>
      </w:r>
      <w:r w:rsidR="0073384E">
        <w:t>2014</w:t>
      </w:r>
      <w:r w:rsidR="00976D54">
        <w:t xml:space="preserve"> (</w:t>
      </w:r>
      <w:r w:rsidR="00976D54">
        <w:fldChar w:fldCharType="begin"/>
      </w:r>
      <w:r w:rsidR="00976D54">
        <w:instrText xml:space="preserve"> REF _Ref486196178 \h </w:instrText>
      </w:r>
      <w:r w:rsidR="00976D54">
        <w:fldChar w:fldCharType="separate"/>
      </w:r>
      <w:r w:rsidR="00976D54">
        <w:t xml:space="preserve">Taulukko </w:t>
      </w:r>
      <w:r w:rsidR="00976D54">
        <w:rPr>
          <w:noProof/>
        </w:rPr>
        <w:t>4</w:t>
      </w:r>
      <w:r w:rsidR="00976D54">
        <w:fldChar w:fldCharType="end"/>
      </w:r>
      <w:r w:rsidR="00976D54">
        <w:t>)</w:t>
      </w:r>
      <w:r w:rsidR="007570F7">
        <w:t>.</w:t>
      </w:r>
    </w:p>
    <w:p w:rsidR="00976D54" w:rsidRDefault="00976D54" w:rsidP="00A27423">
      <w:pPr>
        <w:pStyle w:val="Caption"/>
        <w:keepNext/>
      </w:pPr>
      <w:bookmarkStart w:id="3" w:name="_Ref486196178"/>
      <w:r>
        <w:t xml:space="preserve">Taulukko </w:t>
      </w:r>
      <w:fldSimple w:instr=" SEQ Taulukko \* ARABIC ">
        <w:r>
          <w:rPr>
            <w:noProof/>
          </w:rPr>
          <w:t>4</w:t>
        </w:r>
      </w:fldSimple>
      <w:bookmarkEnd w:id="3"/>
      <w:r>
        <w:t>. Uusien syöpätausten määrät tarkasteluajanjaksolla</w:t>
      </w:r>
    </w:p>
    <w:tbl>
      <w:tblPr>
        <w:tblStyle w:val="TableGrid"/>
        <w:tblW w:w="0" w:type="auto"/>
        <w:tblLook w:val="04A0" w:firstRow="1" w:lastRow="0" w:firstColumn="1" w:lastColumn="0" w:noHBand="0" w:noVBand="1"/>
      </w:tblPr>
      <w:tblGrid>
        <w:gridCol w:w="3681"/>
        <w:gridCol w:w="1982"/>
        <w:gridCol w:w="1982"/>
        <w:gridCol w:w="1983"/>
      </w:tblGrid>
      <w:tr w:rsidR="000A0AB0" w:rsidTr="00271CAF">
        <w:tc>
          <w:tcPr>
            <w:tcW w:w="3681" w:type="dxa"/>
          </w:tcPr>
          <w:p w:rsidR="000A0AB0" w:rsidRPr="0073384E" w:rsidRDefault="000A0AB0" w:rsidP="000A0AB0">
            <w:pPr>
              <w:rPr>
                <w:b/>
              </w:rPr>
            </w:pPr>
          </w:p>
        </w:tc>
        <w:tc>
          <w:tcPr>
            <w:tcW w:w="1982" w:type="dxa"/>
          </w:tcPr>
          <w:p w:rsidR="000A0AB0" w:rsidRPr="0073384E" w:rsidRDefault="000A0AB0" w:rsidP="000A0AB0">
            <w:pPr>
              <w:jc w:val="center"/>
              <w:rPr>
                <w:b/>
                <w:szCs w:val="24"/>
              </w:rPr>
            </w:pPr>
            <w:r w:rsidRPr="0073384E">
              <w:rPr>
                <w:b/>
                <w:szCs w:val="24"/>
              </w:rPr>
              <w:t>2004</w:t>
            </w:r>
          </w:p>
        </w:tc>
        <w:tc>
          <w:tcPr>
            <w:tcW w:w="1982" w:type="dxa"/>
          </w:tcPr>
          <w:p w:rsidR="000A0AB0" w:rsidRPr="0073384E" w:rsidRDefault="000A0AB0" w:rsidP="000A0AB0">
            <w:pPr>
              <w:jc w:val="center"/>
              <w:rPr>
                <w:b/>
                <w:szCs w:val="24"/>
              </w:rPr>
            </w:pPr>
            <w:r w:rsidRPr="0073384E">
              <w:rPr>
                <w:b/>
                <w:szCs w:val="24"/>
              </w:rPr>
              <w:t>2009</w:t>
            </w:r>
          </w:p>
        </w:tc>
        <w:tc>
          <w:tcPr>
            <w:tcW w:w="1983" w:type="dxa"/>
          </w:tcPr>
          <w:p w:rsidR="000A0AB0" w:rsidRPr="0073384E" w:rsidRDefault="000A0AB0" w:rsidP="000A0AB0">
            <w:pPr>
              <w:jc w:val="center"/>
              <w:rPr>
                <w:b/>
                <w:szCs w:val="24"/>
              </w:rPr>
            </w:pPr>
            <w:r w:rsidRPr="0073384E">
              <w:rPr>
                <w:b/>
                <w:szCs w:val="24"/>
              </w:rPr>
              <w:t>2014</w:t>
            </w:r>
          </w:p>
        </w:tc>
      </w:tr>
      <w:tr w:rsidR="000A0AB0" w:rsidTr="00271CAF">
        <w:tc>
          <w:tcPr>
            <w:tcW w:w="3681" w:type="dxa"/>
          </w:tcPr>
          <w:p w:rsidR="000A0AB0" w:rsidRDefault="000A0AB0" w:rsidP="000A0AB0">
            <w:r>
              <w:lastRenderedPageBreak/>
              <w:t>Väestö</w:t>
            </w:r>
          </w:p>
        </w:tc>
        <w:tc>
          <w:tcPr>
            <w:tcW w:w="1982" w:type="dxa"/>
            <w:vAlign w:val="bottom"/>
          </w:tcPr>
          <w:p w:rsidR="000A0AB0" w:rsidRPr="000A0AB0" w:rsidRDefault="000A0AB0" w:rsidP="000A0AB0">
            <w:pPr>
              <w:jc w:val="center"/>
              <w:rPr>
                <w:szCs w:val="24"/>
              </w:rPr>
            </w:pPr>
            <w:r w:rsidRPr="000A0AB0">
              <w:rPr>
                <w:rFonts w:ascii="Calibri" w:hAnsi="Calibri" w:cs="Calibri"/>
                <w:color w:val="000000"/>
                <w:szCs w:val="24"/>
              </w:rPr>
              <w:t>5</w:t>
            </w:r>
            <w:r w:rsidR="00676DBC">
              <w:rPr>
                <w:rFonts w:ascii="Calibri" w:hAnsi="Calibri" w:cs="Calibri"/>
                <w:color w:val="000000"/>
                <w:szCs w:val="24"/>
              </w:rPr>
              <w:t> </w:t>
            </w:r>
            <w:r w:rsidRPr="000A0AB0">
              <w:rPr>
                <w:rFonts w:ascii="Calibri" w:hAnsi="Calibri" w:cs="Calibri"/>
                <w:color w:val="000000"/>
                <w:szCs w:val="24"/>
              </w:rPr>
              <w:t>236</w:t>
            </w:r>
            <w:r w:rsidR="00676DBC">
              <w:rPr>
                <w:rFonts w:ascii="Calibri" w:hAnsi="Calibri" w:cs="Calibri"/>
                <w:color w:val="000000"/>
                <w:szCs w:val="24"/>
              </w:rPr>
              <w:t xml:space="preserve"> </w:t>
            </w:r>
            <w:r w:rsidRPr="000A0AB0">
              <w:rPr>
                <w:rFonts w:ascii="Calibri" w:hAnsi="Calibri" w:cs="Calibri"/>
                <w:color w:val="000000"/>
                <w:szCs w:val="24"/>
              </w:rPr>
              <w:t>611</w:t>
            </w:r>
          </w:p>
        </w:tc>
        <w:tc>
          <w:tcPr>
            <w:tcW w:w="1982" w:type="dxa"/>
            <w:vAlign w:val="bottom"/>
          </w:tcPr>
          <w:p w:rsidR="000A0AB0" w:rsidRPr="000A0AB0" w:rsidRDefault="000A0AB0" w:rsidP="000A0AB0">
            <w:pPr>
              <w:jc w:val="center"/>
              <w:rPr>
                <w:szCs w:val="24"/>
              </w:rPr>
            </w:pPr>
            <w:r w:rsidRPr="000A0AB0">
              <w:rPr>
                <w:rFonts w:ascii="Calibri" w:hAnsi="Calibri" w:cs="Calibri"/>
                <w:color w:val="000000"/>
                <w:szCs w:val="24"/>
              </w:rPr>
              <w:t>5</w:t>
            </w:r>
            <w:r w:rsidR="00676DBC">
              <w:rPr>
                <w:rFonts w:ascii="Calibri" w:hAnsi="Calibri" w:cs="Calibri"/>
                <w:color w:val="000000"/>
                <w:szCs w:val="24"/>
              </w:rPr>
              <w:t> </w:t>
            </w:r>
            <w:r w:rsidRPr="000A0AB0">
              <w:rPr>
                <w:rFonts w:ascii="Calibri" w:hAnsi="Calibri" w:cs="Calibri"/>
                <w:color w:val="000000"/>
                <w:szCs w:val="24"/>
              </w:rPr>
              <w:t>351</w:t>
            </w:r>
            <w:r w:rsidR="00676DBC">
              <w:rPr>
                <w:rFonts w:ascii="Calibri" w:hAnsi="Calibri" w:cs="Calibri"/>
                <w:color w:val="000000"/>
                <w:szCs w:val="24"/>
              </w:rPr>
              <w:t xml:space="preserve"> </w:t>
            </w:r>
            <w:r w:rsidRPr="000A0AB0">
              <w:rPr>
                <w:rFonts w:ascii="Calibri" w:hAnsi="Calibri" w:cs="Calibri"/>
                <w:color w:val="000000"/>
                <w:szCs w:val="24"/>
              </w:rPr>
              <w:t>427</w:t>
            </w:r>
          </w:p>
        </w:tc>
        <w:tc>
          <w:tcPr>
            <w:tcW w:w="1983" w:type="dxa"/>
            <w:vAlign w:val="bottom"/>
          </w:tcPr>
          <w:p w:rsidR="000A0AB0" w:rsidRPr="000A0AB0" w:rsidRDefault="000A0AB0" w:rsidP="000A0AB0">
            <w:pPr>
              <w:jc w:val="center"/>
              <w:rPr>
                <w:szCs w:val="24"/>
              </w:rPr>
            </w:pPr>
            <w:r w:rsidRPr="000A0AB0">
              <w:rPr>
                <w:rFonts w:ascii="Calibri" w:hAnsi="Calibri" w:cs="Calibri"/>
                <w:color w:val="000000"/>
                <w:szCs w:val="24"/>
              </w:rPr>
              <w:t>5</w:t>
            </w:r>
            <w:r w:rsidR="00676DBC">
              <w:rPr>
                <w:rFonts w:ascii="Calibri" w:hAnsi="Calibri" w:cs="Calibri"/>
                <w:color w:val="000000"/>
                <w:szCs w:val="24"/>
              </w:rPr>
              <w:t> </w:t>
            </w:r>
            <w:r w:rsidRPr="000A0AB0">
              <w:rPr>
                <w:rFonts w:ascii="Calibri" w:hAnsi="Calibri" w:cs="Calibri"/>
                <w:color w:val="000000"/>
                <w:szCs w:val="24"/>
              </w:rPr>
              <w:t>471</w:t>
            </w:r>
            <w:r w:rsidR="00676DBC">
              <w:rPr>
                <w:rFonts w:ascii="Calibri" w:hAnsi="Calibri" w:cs="Calibri"/>
                <w:color w:val="000000"/>
                <w:szCs w:val="24"/>
              </w:rPr>
              <w:t xml:space="preserve"> </w:t>
            </w:r>
            <w:r w:rsidRPr="000A0AB0">
              <w:rPr>
                <w:rFonts w:ascii="Calibri" w:hAnsi="Calibri" w:cs="Calibri"/>
                <w:color w:val="000000"/>
                <w:szCs w:val="24"/>
              </w:rPr>
              <w:t>753</w:t>
            </w:r>
          </w:p>
        </w:tc>
      </w:tr>
      <w:tr w:rsidR="000A0AB0" w:rsidTr="00271CAF">
        <w:tc>
          <w:tcPr>
            <w:tcW w:w="3681" w:type="dxa"/>
          </w:tcPr>
          <w:p w:rsidR="000A0AB0" w:rsidRDefault="000A0AB0" w:rsidP="000A0AB0">
            <w:r>
              <w:t>Uusien syöpätapausten määrä</w:t>
            </w:r>
          </w:p>
        </w:tc>
        <w:tc>
          <w:tcPr>
            <w:tcW w:w="1982" w:type="dxa"/>
            <w:vAlign w:val="bottom"/>
          </w:tcPr>
          <w:p w:rsidR="000A0AB0" w:rsidRPr="000A0AB0" w:rsidRDefault="000A0AB0" w:rsidP="000A0AB0">
            <w:pPr>
              <w:jc w:val="center"/>
              <w:rPr>
                <w:szCs w:val="24"/>
              </w:rPr>
            </w:pPr>
            <w:r w:rsidRPr="000A0AB0">
              <w:rPr>
                <w:rFonts w:ascii="Calibri" w:hAnsi="Calibri" w:cs="Calibri"/>
                <w:color w:val="000000"/>
                <w:szCs w:val="24"/>
              </w:rPr>
              <w:t>26</w:t>
            </w:r>
            <w:r w:rsidR="00676DBC">
              <w:rPr>
                <w:rFonts w:ascii="Calibri" w:hAnsi="Calibri" w:cs="Calibri"/>
                <w:color w:val="000000"/>
                <w:szCs w:val="24"/>
              </w:rPr>
              <w:t xml:space="preserve"> </w:t>
            </w:r>
            <w:r w:rsidRPr="000A0AB0">
              <w:rPr>
                <w:rFonts w:ascii="Calibri" w:hAnsi="Calibri" w:cs="Calibri"/>
                <w:color w:val="000000"/>
                <w:szCs w:val="24"/>
              </w:rPr>
              <w:t>847</w:t>
            </w:r>
          </w:p>
        </w:tc>
        <w:tc>
          <w:tcPr>
            <w:tcW w:w="1982" w:type="dxa"/>
            <w:vAlign w:val="bottom"/>
          </w:tcPr>
          <w:p w:rsidR="000A0AB0" w:rsidRPr="000A0AB0" w:rsidRDefault="000A0AB0" w:rsidP="000A0AB0">
            <w:pPr>
              <w:jc w:val="center"/>
              <w:rPr>
                <w:szCs w:val="24"/>
              </w:rPr>
            </w:pPr>
            <w:r w:rsidRPr="000A0AB0">
              <w:rPr>
                <w:rFonts w:ascii="Calibri" w:hAnsi="Calibri" w:cs="Calibri"/>
                <w:color w:val="000000"/>
                <w:szCs w:val="24"/>
              </w:rPr>
              <w:t>29</w:t>
            </w:r>
            <w:r w:rsidR="00676DBC">
              <w:rPr>
                <w:rFonts w:ascii="Calibri" w:hAnsi="Calibri" w:cs="Calibri"/>
                <w:color w:val="000000"/>
                <w:szCs w:val="24"/>
              </w:rPr>
              <w:t xml:space="preserve"> </w:t>
            </w:r>
            <w:r w:rsidRPr="000A0AB0">
              <w:rPr>
                <w:rFonts w:ascii="Calibri" w:hAnsi="Calibri" w:cs="Calibri"/>
                <w:color w:val="000000"/>
                <w:szCs w:val="24"/>
              </w:rPr>
              <w:t>817</w:t>
            </w:r>
          </w:p>
        </w:tc>
        <w:tc>
          <w:tcPr>
            <w:tcW w:w="1983" w:type="dxa"/>
            <w:vAlign w:val="bottom"/>
          </w:tcPr>
          <w:p w:rsidR="000A0AB0" w:rsidRPr="000A0AB0" w:rsidRDefault="000A0AB0" w:rsidP="000A0AB0">
            <w:pPr>
              <w:jc w:val="center"/>
              <w:rPr>
                <w:szCs w:val="24"/>
              </w:rPr>
            </w:pPr>
            <w:r w:rsidRPr="000A0AB0">
              <w:rPr>
                <w:rFonts w:ascii="Calibri" w:hAnsi="Calibri" w:cs="Calibri"/>
                <w:color w:val="000000"/>
                <w:szCs w:val="24"/>
              </w:rPr>
              <w:t>32</w:t>
            </w:r>
            <w:r w:rsidR="00676DBC">
              <w:rPr>
                <w:rFonts w:ascii="Calibri" w:hAnsi="Calibri" w:cs="Calibri"/>
                <w:color w:val="000000"/>
                <w:szCs w:val="24"/>
              </w:rPr>
              <w:t xml:space="preserve"> </w:t>
            </w:r>
            <w:r w:rsidRPr="000A0AB0">
              <w:rPr>
                <w:rFonts w:ascii="Calibri" w:hAnsi="Calibri" w:cs="Calibri"/>
                <w:color w:val="000000"/>
                <w:szCs w:val="24"/>
              </w:rPr>
              <w:t>311</w:t>
            </w:r>
          </w:p>
        </w:tc>
      </w:tr>
      <w:tr w:rsidR="000A0AB0" w:rsidTr="00271CAF">
        <w:tc>
          <w:tcPr>
            <w:tcW w:w="3681" w:type="dxa"/>
          </w:tcPr>
          <w:p w:rsidR="000A0AB0" w:rsidRDefault="000A0AB0" w:rsidP="000A0AB0">
            <w:pPr>
              <w:pStyle w:val="ListParagraph"/>
              <w:numPr>
                <w:ilvl w:val="0"/>
                <w:numId w:val="20"/>
              </w:numPr>
            </w:pPr>
            <w:r>
              <w:t>Paksu- ja peräsuolisyöpä (C18-C21)</w:t>
            </w:r>
          </w:p>
        </w:tc>
        <w:tc>
          <w:tcPr>
            <w:tcW w:w="1982" w:type="dxa"/>
          </w:tcPr>
          <w:p w:rsidR="000A0AB0" w:rsidRPr="000A0AB0" w:rsidRDefault="000A0AB0" w:rsidP="000A0AB0">
            <w:pPr>
              <w:jc w:val="center"/>
              <w:rPr>
                <w:szCs w:val="24"/>
              </w:rPr>
            </w:pPr>
            <w:r w:rsidRPr="000A0AB0">
              <w:rPr>
                <w:szCs w:val="24"/>
              </w:rPr>
              <w:t>2</w:t>
            </w:r>
            <w:r w:rsidR="00676DBC">
              <w:rPr>
                <w:szCs w:val="24"/>
              </w:rPr>
              <w:t xml:space="preserve"> </w:t>
            </w:r>
            <w:r w:rsidRPr="000A0AB0">
              <w:rPr>
                <w:szCs w:val="24"/>
              </w:rPr>
              <w:t>482</w:t>
            </w:r>
          </w:p>
        </w:tc>
        <w:tc>
          <w:tcPr>
            <w:tcW w:w="1982" w:type="dxa"/>
          </w:tcPr>
          <w:p w:rsidR="000A0AB0" w:rsidRPr="000A0AB0" w:rsidRDefault="000A0AB0" w:rsidP="000A0AB0">
            <w:pPr>
              <w:jc w:val="center"/>
              <w:rPr>
                <w:szCs w:val="24"/>
              </w:rPr>
            </w:pPr>
            <w:r w:rsidRPr="000A0AB0">
              <w:rPr>
                <w:szCs w:val="24"/>
              </w:rPr>
              <w:t>2</w:t>
            </w:r>
            <w:r w:rsidR="00676DBC">
              <w:rPr>
                <w:szCs w:val="24"/>
              </w:rPr>
              <w:t xml:space="preserve"> </w:t>
            </w:r>
            <w:r w:rsidRPr="000A0AB0">
              <w:rPr>
                <w:szCs w:val="24"/>
              </w:rPr>
              <w:t>828</w:t>
            </w:r>
          </w:p>
        </w:tc>
        <w:tc>
          <w:tcPr>
            <w:tcW w:w="1983" w:type="dxa"/>
          </w:tcPr>
          <w:p w:rsidR="000A0AB0" w:rsidRPr="000A0AB0" w:rsidRDefault="000A0AB0" w:rsidP="000A0AB0">
            <w:pPr>
              <w:jc w:val="center"/>
              <w:rPr>
                <w:szCs w:val="24"/>
              </w:rPr>
            </w:pPr>
            <w:r w:rsidRPr="000A0AB0">
              <w:rPr>
                <w:szCs w:val="24"/>
              </w:rPr>
              <w:t>3</w:t>
            </w:r>
            <w:r w:rsidR="00676DBC">
              <w:rPr>
                <w:szCs w:val="24"/>
              </w:rPr>
              <w:t xml:space="preserve"> </w:t>
            </w:r>
            <w:r w:rsidRPr="000A0AB0">
              <w:rPr>
                <w:szCs w:val="24"/>
              </w:rPr>
              <w:t>111</w:t>
            </w:r>
          </w:p>
        </w:tc>
      </w:tr>
      <w:tr w:rsidR="000A0AB0" w:rsidTr="00271CAF">
        <w:tc>
          <w:tcPr>
            <w:tcW w:w="3681" w:type="dxa"/>
          </w:tcPr>
          <w:p w:rsidR="000A0AB0" w:rsidRDefault="000A0AB0" w:rsidP="000A0AB0">
            <w:pPr>
              <w:pStyle w:val="ListParagraph"/>
              <w:numPr>
                <w:ilvl w:val="0"/>
                <w:numId w:val="20"/>
              </w:numPr>
            </w:pPr>
            <w:r>
              <w:t>Keuhko (C33-C34)</w:t>
            </w:r>
          </w:p>
        </w:tc>
        <w:tc>
          <w:tcPr>
            <w:tcW w:w="1982" w:type="dxa"/>
          </w:tcPr>
          <w:p w:rsidR="000A0AB0" w:rsidRPr="000A0AB0" w:rsidRDefault="000A0AB0" w:rsidP="000A0AB0">
            <w:pPr>
              <w:jc w:val="center"/>
              <w:rPr>
                <w:szCs w:val="24"/>
              </w:rPr>
            </w:pPr>
            <w:r w:rsidRPr="000A0AB0">
              <w:rPr>
                <w:szCs w:val="24"/>
              </w:rPr>
              <w:t>2</w:t>
            </w:r>
            <w:r w:rsidR="00676DBC">
              <w:rPr>
                <w:szCs w:val="24"/>
              </w:rPr>
              <w:t xml:space="preserve"> </w:t>
            </w:r>
            <w:r w:rsidRPr="000A0AB0">
              <w:rPr>
                <w:szCs w:val="24"/>
              </w:rPr>
              <w:t>290</w:t>
            </w:r>
          </w:p>
        </w:tc>
        <w:tc>
          <w:tcPr>
            <w:tcW w:w="1982" w:type="dxa"/>
          </w:tcPr>
          <w:p w:rsidR="000A0AB0" w:rsidRPr="000A0AB0" w:rsidRDefault="000A0AB0" w:rsidP="000A0AB0">
            <w:pPr>
              <w:jc w:val="center"/>
              <w:rPr>
                <w:szCs w:val="24"/>
              </w:rPr>
            </w:pPr>
            <w:r w:rsidRPr="000A0AB0">
              <w:rPr>
                <w:szCs w:val="24"/>
              </w:rPr>
              <w:t>2</w:t>
            </w:r>
            <w:r w:rsidR="00676DBC">
              <w:rPr>
                <w:szCs w:val="24"/>
              </w:rPr>
              <w:t xml:space="preserve"> </w:t>
            </w:r>
            <w:r w:rsidRPr="000A0AB0">
              <w:rPr>
                <w:szCs w:val="24"/>
              </w:rPr>
              <w:t>469</w:t>
            </w:r>
          </w:p>
        </w:tc>
        <w:tc>
          <w:tcPr>
            <w:tcW w:w="1983" w:type="dxa"/>
          </w:tcPr>
          <w:p w:rsidR="000A0AB0" w:rsidRPr="000A0AB0" w:rsidRDefault="000A0AB0" w:rsidP="000A0AB0">
            <w:pPr>
              <w:jc w:val="center"/>
              <w:rPr>
                <w:szCs w:val="24"/>
              </w:rPr>
            </w:pPr>
            <w:r w:rsidRPr="000A0AB0">
              <w:rPr>
                <w:szCs w:val="24"/>
              </w:rPr>
              <w:t>2</w:t>
            </w:r>
            <w:r w:rsidR="00676DBC">
              <w:rPr>
                <w:szCs w:val="24"/>
              </w:rPr>
              <w:t xml:space="preserve"> </w:t>
            </w:r>
            <w:r w:rsidRPr="000A0AB0">
              <w:rPr>
                <w:szCs w:val="24"/>
              </w:rPr>
              <w:t>616</w:t>
            </w:r>
          </w:p>
        </w:tc>
      </w:tr>
      <w:tr w:rsidR="000A0AB0" w:rsidTr="00271CAF">
        <w:tc>
          <w:tcPr>
            <w:tcW w:w="3681" w:type="dxa"/>
          </w:tcPr>
          <w:p w:rsidR="000A0AB0" w:rsidRDefault="000A0AB0" w:rsidP="000A0AB0">
            <w:pPr>
              <w:pStyle w:val="ListParagraph"/>
              <w:numPr>
                <w:ilvl w:val="0"/>
                <w:numId w:val="20"/>
              </w:numPr>
            </w:pPr>
            <w:r>
              <w:t>Rinta (C50)</w:t>
            </w:r>
          </w:p>
        </w:tc>
        <w:tc>
          <w:tcPr>
            <w:tcW w:w="1982" w:type="dxa"/>
          </w:tcPr>
          <w:p w:rsidR="000A0AB0" w:rsidRPr="000A0AB0" w:rsidRDefault="000A0AB0" w:rsidP="000A0AB0">
            <w:pPr>
              <w:jc w:val="center"/>
              <w:rPr>
                <w:szCs w:val="24"/>
              </w:rPr>
            </w:pPr>
            <w:r w:rsidRPr="000A0AB0">
              <w:rPr>
                <w:szCs w:val="24"/>
              </w:rPr>
              <w:t>4</w:t>
            </w:r>
            <w:r w:rsidR="00676DBC">
              <w:rPr>
                <w:szCs w:val="24"/>
              </w:rPr>
              <w:t xml:space="preserve"> </w:t>
            </w:r>
            <w:r w:rsidRPr="000A0AB0">
              <w:rPr>
                <w:szCs w:val="24"/>
              </w:rPr>
              <w:t>024</w:t>
            </w:r>
          </w:p>
        </w:tc>
        <w:tc>
          <w:tcPr>
            <w:tcW w:w="1982" w:type="dxa"/>
          </w:tcPr>
          <w:p w:rsidR="000A0AB0" w:rsidRPr="000A0AB0" w:rsidRDefault="000A0AB0" w:rsidP="000A0AB0">
            <w:pPr>
              <w:jc w:val="center"/>
              <w:rPr>
                <w:szCs w:val="24"/>
              </w:rPr>
            </w:pPr>
            <w:r w:rsidRPr="000A0AB0">
              <w:rPr>
                <w:szCs w:val="24"/>
              </w:rPr>
              <w:t>4</w:t>
            </w:r>
            <w:r w:rsidR="00676DBC">
              <w:rPr>
                <w:szCs w:val="24"/>
              </w:rPr>
              <w:t xml:space="preserve"> </w:t>
            </w:r>
            <w:r w:rsidRPr="000A0AB0">
              <w:rPr>
                <w:szCs w:val="24"/>
              </w:rPr>
              <w:t>641</w:t>
            </w:r>
          </w:p>
        </w:tc>
        <w:tc>
          <w:tcPr>
            <w:tcW w:w="1983" w:type="dxa"/>
          </w:tcPr>
          <w:p w:rsidR="000A0AB0" w:rsidRPr="000A0AB0" w:rsidRDefault="000A0AB0" w:rsidP="000A0AB0">
            <w:pPr>
              <w:jc w:val="center"/>
              <w:rPr>
                <w:szCs w:val="24"/>
              </w:rPr>
            </w:pPr>
            <w:r w:rsidRPr="000A0AB0">
              <w:rPr>
                <w:szCs w:val="24"/>
              </w:rPr>
              <w:t>5</w:t>
            </w:r>
            <w:r w:rsidR="00676DBC">
              <w:rPr>
                <w:szCs w:val="24"/>
              </w:rPr>
              <w:t xml:space="preserve"> </w:t>
            </w:r>
            <w:r w:rsidRPr="000A0AB0">
              <w:rPr>
                <w:szCs w:val="24"/>
              </w:rPr>
              <w:t>033</w:t>
            </w:r>
          </w:p>
        </w:tc>
      </w:tr>
      <w:tr w:rsidR="000A0AB0" w:rsidTr="00271CAF">
        <w:tc>
          <w:tcPr>
            <w:tcW w:w="3681" w:type="dxa"/>
          </w:tcPr>
          <w:p w:rsidR="000A0AB0" w:rsidRDefault="000A0AB0" w:rsidP="000A0AB0">
            <w:pPr>
              <w:pStyle w:val="ListParagraph"/>
              <w:numPr>
                <w:ilvl w:val="0"/>
                <w:numId w:val="20"/>
              </w:numPr>
            </w:pPr>
            <w:r>
              <w:t>Eturauhanen (C61)</w:t>
            </w:r>
          </w:p>
        </w:tc>
        <w:tc>
          <w:tcPr>
            <w:tcW w:w="1982" w:type="dxa"/>
          </w:tcPr>
          <w:p w:rsidR="000A0AB0" w:rsidRPr="000A0AB0" w:rsidRDefault="000A0AB0" w:rsidP="000A0AB0">
            <w:pPr>
              <w:jc w:val="center"/>
              <w:rPr>
                <w:szCs w:val="24"/>
              </w:rPr>
            </w:pPr>
            <w:r w:rsidRPr="000A0AB0">
              <w:rPr>
                <w:szCs w:val="24"/>
              </w:rPr>
              <w:t>4</w:t>
            </w:r>
            <w:r w:rsidR="00676DBC">
              <w:rPr>
                <w:szCs w:val="24"/>
              </w:rPr>
              <w:t xml:space="preserve"> </w:t>
            </w:r>
            <w:r w:rsidRPr="000A0AB0">
              <w:rPr>
                <w:szCs w:val="24"/>
              </w:rPr>
              <w:t>737</w:t>
            </w:r>
          </w:p>
        </w:tc>
        <w:tc>
          <w:tcPr>
            <w:tcW w:w="1982" w:type="dxa"/>
          </w:tcPr>
          <w:p w:rsidR="000A0AB0" w:rsidRPr="000A0AB0" w:rsidRDefault="000A0AB0" w:rsidP="000A0AB0">
            <w:pPr>
              <w:jc w:val="center"/>
              <w:rPr>
                <w:szCs w:val="24"/>
              </w:rPr>
            </w:pPr>
            <w:r w:rsidRPr="000A0AB0">
              <w:rPr>
                <w:szCs w:val="24"/>
              </w:rPr>
              <w:t>4</w:t>
            </w:r>
            <w:r w:rsidR="00676DBC">
              <w:rPr>
                <w:szCs w:val="24"/>
              </w:rPr>
              <w:t xml:space="preserve"> </w:t>
            </w:r>
            <w:r w:rsidRPr="000A0AB0">
              <w:rPr>
                <w:szCs w:val="24"/>
              </w:rPr>
              <w:t>616</w:t>
            </w:r>
          </w:p>
        </w:tc>
        <w:tc>
          <w:tcPr>
            <w:tcW w:w="1983" w:type="dxa"/>
          </w:tcPr>
          <w:p w:rsidR="000A0AB0" w:rsidRPr="000A0AB0" w:rsidRDefault="000A0AB0" w:rsidP="000A0AB0">
            <w:pPr>
              <w:jc w:val="center"/>
              <w:rPr>
                <w:szCs w:val="24"/>
              </w:rPr>
            </w:pPr>
            <w:r w:rsidRPr="000A0AB0">
              <w:rPr>
                <w:szCs w:val="24"/>
              </w:rPr>
              <w:t>4</w:t>
            </w:r>
            <w:r w:rsidR="00676DBC">
              <w:rPr>
                <w:szCs w:val="24"/>
              </w:rPr>
              <w:t xml:space="preserve"> </w:t>
            </w:r>
            <w:r w:rsidRPr="000A0AB0">
              <w:rPr>
                <w:szCs w:val="24"/>
              </w:rPr>
              <w:t>596</w:t>
            </w:r>
          </w:p>
        </w:tc>
      </w:tr>
      <w:tr w:rsidR="000A0AB0" w:rsidTr="00271CAF">
        <w:tc>
          <w:tcPr>
            <w:tcW w:w="3681" w:type="dxa"/>
          </w:tcPr>
          <w:p w:rsidR="000A0AB0" w:rsidRDefault="000A0AB0" w:rsidP="000A0AB0">
            <w:pPr>
              <w:pStyle w:val="ListParagraph"/>
              <w:numPr>
                <w:ilvl w:val="0"/>
                <w:numId w:val="20"/>
              </w:numPr>
            </w:pPr>
            <w:r>
              <w:t>Non-hodgkinin Lymfooma (C82-C86, C96, D76)</w:t>
            </w:r>
          </w:p>
        </w:tc>
        <w:tc>
          <w:tcPr>
            <w:tcW w:w="1982" w:type="dxa"/>
          </w:tcPr>
          <w:p w:rsidR="000A0AB0" w:rsidRPr="000A0AB0" w:rsidRDefault="000A0AB0" w:rsidP="000A0AB0">
            <w:pPr>
              <w:jc w:val="center"/>
              <w:rPr>
                <w:szCs w:val="24"/>
              </w:rPr>
            </w:pPr>
            <w:r w:rsidRPr="000A0AB0">
              <w:rPr>
                <w:szCs w:val="24"/>
              </w:rPr>
              <w:t>9</w:t>
            </w:r>
            <w:r w:rsidR="00676DBC">
              <w:rPr>
                <w:szCs w:val="24"/>
              </w:rPr>
              <w:t xml:space="preserve"> </w:t>
            </w:r>
            <w:r w:rsidRPr="000A0AB0">
              <w:rPr>
                <w:szCs w:val="24"/>
              </w:rPr>
              <w:t>98</w:t>
            </w:r>
          </w:p>
        </w:tc>
        <w:tc>
          <w:tcPr>
            <w:tcW w:w="1982" w:type="dxa"/>
          </w:tcPr>
          <w:p w:rsidR="000A0AB0" w:rsidRPr="000A0AB0" w:rsidRDefault="000A0AB0" w:rsidP="000A0AB0">
            <w:pPr>
              <w:jc w:val="center"/>
              <w:rPr>
                <w:szCs w:val="24"/>
              </w:rPr>
            </w:pPr>
            <w:r w:rsidRPr="000A0AB0">
              <w:rPr>
                <w:szCs w:val="24"/>
              </w:rPr>
              <w:t>1</w:t>
            </w:r>
            <w:r w:rsidR="00676DBC">
              <w:rPr>
                <w:szCs w:val="24"/>
              </w:rPr>
              <w:t xml:space="preserve"> </w:t>
            </w:r>
            <w:r w:rsidRPr="000A0AB0">
              <w:rPr>
                <w:szCs w:val="24"/>
              </w:rPr>
              <w:t>180</w:t>
            </w:r>
          </w:p>
        </w:tc>
        <w:tc>
          <w:tcPr>
            <w:tcW w:w="1983" w:type="dxa"/>
          </w:tcPr>
          <w:p w:rsidR="000A0AB0" w:rsidRPr="000A0AB0" w:rsidRDefault="000A0AB0" w:rsidP="000A0AB0">
            <w:pPr>
              <w:jc w:val="center"/>
              <w:rPr>
                <w:szCs w:val="24"/>
              </w:rPr>
            </w:pPr>
            <w:r w:rsidRPr="000A0AB0">
              <w:rPr>
                <w:szCs w:val="24"/>
              </w:rPr>
              <w:t>1</w:t>
            </w:r>
            <w:r w:rsidR="00676DBC">
              <w:rPr>
                <w:szCs w:val="24"/>
              </w:rPr>
              <w:t xml:space="preserve"> </w:t>
            </w:r>
            <w:r w:rsidRPr="000A0AB0">
              <w:rPr>
                <w:szCs w:val="24"/>
              </w:rPr>
              <w:t>338</w:t>
            </w:r>
          </w:p>
        </w:tc>
      </w:tr>
    </w:tbl>
    <w:p w:rsidR="000A0AB0" w:rsidRDefault="000A0AB0" w:rsidP="00B868D2"/>
    <w:p w:rsidR="00803439" w:rsidRDefault="00561360" w:rsidP="00B868D2">
      <w:r>
        <w:t xml:space="preserve">Kuvassa </w:t>
      </w:r>
      <w:r w:rsidR="00976D54">
        <w:t>4</w:t>
      </w:r>
      <w:r w:rsidR="005F2CFA">
        <w:t xml:space="preserve"> </w:t>
      </w:r>
      <w:r>
        <w:t>on esitettynä sekä nimelliset että deflatoidut kustannukset suhteessa uusiin syöpätapauksiin 2009 ja 2014.</w:t>
      </w:r>
      <w:r w:rsidR="00676DBC">
        <w:t xml:space="preserve"> Vuosittaisten kokonaiskustannusten jakaminen uusien syöpäpotilaiden määrällä antaa kuvaa keskimääräisistä elinkaarikustannuksista kullakin ajanhetkellä. </w:t>
      </w:r>
      <w:r w:rsidR="00FB04B8">
        <w:t>Vuonna 2014 syövän aiheuttamat kokonaiskustannukset uutta syöpäpotilasta kohden olivat n</w:t>
      </w:r>
      <w:r w:rsidR="005D03FE">
        <w:t>oin</w:t>
      </w:r>
      <w:r w:rsidR="00FB04B8">
        <w:t xml:space="preserve">. 29 000 </w:t>
      </w:r>
      <w:r w:rsidR="005D03FE">
        <w:t>euroa</w:t>
      </w:r>
      <w:r w:rsidR="00FB04B8">
        <w:t xml:space="preserve">. </w:t>
      </w:r>
    </w:p>
    <w:p w:rsidR="00692D85" w:rsidRDefault="00803439" w:rsidP="00692D85">
      <w:pPr>
        <w:keepNext/>
      </w:pPr>
      <w:r w:rsidRPr="00803439">
        <w:rPr>
          <w:noProof/>
          <w:lang w:eastAsia="fi-FI"/>
        </w:rPr>
        <w:t xml:space="preserve"> </w:t>
      </w:r>
      <w:r w:rsidR="00665DA3" w:rsidRPr="00665DA3">
        <w:rPr>
          <w:noProof/>
          <w:lang w:eastAsia="fi-FI"/>
        </w:rPr>
        <w:drawing>
          <wp:inline distT="0" distB="0" distL="0" distR="0" wp14:anchorId="02630C92" wp14:editId="2CE5EF51">
            <wp:extent cx="6120130" cy="28267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826787"/>
                    </a:xfrm>
                    <a:prstGeom prst="rect">
                      <a:avLst/>
                    </a:prstGeom>
                    <a:noFill/>
                    <a:ln>
                      <a:noFill/>
                    </a:ln>
                  </pic:spPr>
                </pic:pic>
              </a:graphicData>
            </a:graphic>
          </wp:inline>
        </w:drawing>
      </w:r>
    </w:p>
    <w:p w:rsidR="00561360" w:rsidRDefault="00692D85" w:rsidP="00692D85">
      <w:pPr>
        <w:pStyle w:val="Caption"/>
      </w:pPr>
      <w:r>
        <w:t xml:space="preserve">Kuva </w:t>
      </w:r>
      <w:fldSimple w:instr=" SEQ Kuva \* ARABIC ">
        <w:r w:rsidR="00AF6C6F">
          <w:rPr>
            <w:noProof/>
          </w:rPr>
          <w:t>4</w:t>
        </w:r>
      </w:fldSimple>
      <w:r w:rsidR="00976D54">
        <w:rPr>
          <w:noProof/>
        </w:rPr>
        <w:t>.</w:t>
      </w:r>
      <w:r>
        <w:t xml:space="preserve"> Kustannukset suhteessa uusien syöpäpotilaiden määrään, t€. Vasemmalla kustannukset </w:t>
      </w:r>
      <w:r w:rsidR="00665DA3">
        <w:t xml:space="preserve">2009 </w:t>
      </w:r>
      <w:r>
        <w:t xml:space="preserve">käyvin hinnoin, </w:t>
      </w:r>
      <w:r w:rsidR="00665DA3">
        <w:t>keskellä</w:t>
      </w:r>
      <w:r>
        <w:t xml:space="preserve"> vuoden 2014 hinnoilla.</w:t>
      </w:r>
    </w:p>
    <w:p w:rsidR="00692D85" w:rsidRDefault="00B94B33" w:rsidP="00692D85">
      <w:r>
        <w:t xml:space="preserve">Kustannukset suhteessa uusien </w:t>
      </w:r>
      <w:r w:rsidR="00665DA3">
        <w:t xml:space="preserve">tapausten määrään nousivat n. 9 </w:t>
      </w:r>
      <w:r w:rsidR="000E3840">
        <w:t>prosenttia</w:t>
      </w:r>
      <w:r w:rsidR="00665DA3">
        <w:t xml:space="preserve"> </w:t>
      </w:r>
      <w:r>
        <w:t>vuodesta 2009 vuoteen 2014. Vuonna 2009 kokonaiskustan</w:t>
      </w:r>
      <w:r w:rsidR="00665DA3">
        <w:t>nus uutta syöpäpotilasta kohden oli n. 26</w:t>
      </w:r>
      <w:r w:rsidR="005F2CFA">
        <w:t xml:space="preserve"> 200</w:t>
      </w:r>
      <w:r>
        <w:t xml:space="preserve"> euroa ja vuonna 2014 n. 26</w:t>
      </w:r>
      <w:r w:rsidR="005F2CFA">
        <w:t xml:space="preserve"> 300</w:t>
      </w:r>
      <w:r>
        <w:t xml:space="preserve"> tuhatta euroa. Yleinen hintataso nousi samaan aikaan n. 10 </w:t>
      </w:r>
      <w:r w:rsidR="000E3840">
        <w:t>prosenttia</w:t>
      </w:r>
      <w:r>
        <w:t>, joten deflatoidut kustannukset</w:t>
      </w:r>
      <w:r w:rsidR="00D8652E">
        <w:t xml:space="preserve"> uutta syöpätapausta kohti</w:t>
      </w:r>
      <w:r>
        <w:t xml:space="preserve"> laskivat </w:t>
      </w:r>
      <w:r w:rsidR="00665DA3">
        <w:t>hieman</w:t>
      </w:r>
      <w:r w:rsidR="00D8652E">
        <w:t xml:space="preserve"> viiden vuoden aikana</w:t>
      </w:r>
      <w:r>
        <w:t>.</w:t>
      </w:r>
    </w:p>
    <w:p w:rsidR="000A0AB0" w:rsidRPr="00460C07" w:rsidRDefault="00AD437E" w:rsidP="000A0AB0">
      <w:pPr>
        <w:pStyle w:val="Heading2"/>
      </w:pPr>
      <w:r w:rsidRPr="00460C07">
        <w:t>Syövän hoidon tulokset</w:t>
      </w:r>
    </w:p>
    <w:p w:rsidR="00460C07" w:rsidRDefault="00460C07" w:rsidP="000A0AB0">
      <w:r>
        <w:t xml:space="preserve">EUROCARE-tutkimuksessa Suomen syövän hoidon tulokset </w:t>
      </w:r>
      <w:r w:rsidR="000E3840">
        <w:t>viiden</w:t>
      </w:r>
      <w:r>
        <w:t xml:space="preserve"> vuoden suhteellisilla eloonjäämisluvuilla mitattuna olivat parempia kuin Euroopassa keskimäärin vuosina 2000</w:t>
      </w:r>
      <w:r w:rsidR="005D03FE">
        <w:t>–</w:t>
      </w:r>
      <w:r>
        <w:t xml:space="preserve">2007 kaikissa muissa syöpätyypeissä lukuun ottamatta keuhko- ja munuaissyöpää (De Angelis ym. 2014). Allemanin (2015) tutkimuksessa munasarja- ja eturauhassyövän </w:t>
      </w:r>
      <w:r w:rsidR="00726BDD">
        <w:t xml:space="preserve">suhteelliset </w:t>
      </w:r>
      <w:r w:rsidR="005D03FE">
        <w:t>viiden</w:t>
      </w:r>
      <w:r>
        <w:t xml:space="preserve"> vuoden eloonjäämisluvut olivat Euroopan korkeimmat ja rintasyövän toiseksi korkeimmat 2005</w:t>
      </w:r>
      <w:r w:rsidR="005D03FE">
        <w:t>–</w:t>
      </w:r>
      <w:r>
        <w:t>2009.</w:t>
      </w:r>
      <w:r w:rsidR="00C92F7F">
        <w:t xml:space="preserve"> </w:t>
      </w:r>
      <w:r w:rsidR="00726BDD">
        <w:t xml:space="preserve">Suhteellinen </w:t>
      </w:r>
      <w:r w:rsidR="005D03FE">
        <w:t xml:space="preserve">viiden </w:t>
      </w:r>
      <w:r w:rsidR="00726BDD">
        <w:t>vuoden eloonjääminen on parantunut em. tutkimusten jälkeen (</w:t>
      </w:r>
      <w:r w:rsidR="00976D54">
        <w:fldChar w:fldCharType="begin"/>
      </w:r>
      <w:r w:rsidR="00976D54">
        <w:instrText xml:space="preserve"> REF _Ref486196276 \h </w:instrText>
      </w:r>
      <w:r w:rsidR="00976D54">
        <w:fldChar w:fldCharType="separate"/>
      </w:r>
      <w:r w:rsidR="00976D54">
        <w:t xml:space="preserve">Taulukko </w:t>
      </w:r>
      <w:r w:rsidR="00976D54">
        <w:rPr>
          <w:noProof/>
        </w:rPr>
        <w:t>5</w:t>
      </w:r>
      <w:r w:rsidR="00976D54">
        <w:fldChar w:fldCharType="end"/>
      </w:r>
      <w:r w:rsidR="00726BDD">
        <w:t xml:space="preserve">). </w:t>
      </w:r>
    </w:p>
    <w:p w:rsidR="00976D54" w:rsidRDefault="00976D54" w:rsidP="00A27423">
      <w:pPr>
        <w:pStyle w:val="Caption"/>
        <w:keepNext/>
      </w:pPr>
      <w:bookmarkStart w:id="4" w:name="_Ref486196276"/>
      <w:r>
        <w:lastRenderedPageBreak/>
        <w:t xml:space="preserve">Taulukko </w:t>
      </w:r>
      <w:fldSimple w:instr=" SEQ Taulukko \* ARABIC ">
        <w:r>
          <w:rPr>
            <w:noProof/>
          </w:rPr>
          <w:t>5</w:t>
        </w:r>
      </w:fldSimple>
      <w:bookmarkEnd w:id="4"/>
      <w:r>
        <w:t xml:space="preserve">. </w:t>
      </w:r>
      <w:r w:rsidRPr="00430052">
        <w:t>Syövän suhteelliset 5 vuoden eloonjäämisluvut. Lähde Syöpärekisteri</w:t>
      </w:r>
    </w:p>
    <w:tbl>
      <w:tblPr>
        <w:tblStyle w:val="TableGrid"/>
        <w:tblW w:w="0" w:type="auto"/>
        <w:tblLook w:val="04A0" w:firstRow="1" w:lastRow="0" w:firstColumn="1" w:lastColumn="0" w:noHBand="0" w:noVBand="1"/>
      </w:tblPr>
      <w:tblGrid>
        <w:gridCol w:w="3209"/>
        <w:gridCol w:w="3209"/>
        <w:gridCol w:w="3210"/>
      </w:tblGrid>
      <w:tr w:rsidR="00726BDD" w:rsidTr="00726BDD">
        <w:tc>
          <w:tcPr>
            <w:tcW w:w="3209" w:type="dxa"/>
          </w:tcPr>
          <w:p w:rsidR="00726BDD" w:rsidRDefault="00726BDD" w:rsidP="000A0AB0"/>
        </w:tc>
        <w:tc>
          <w:tcPr>
            <w:tcW w:w="3209" w:type="dxa"/>
          </w:tcPr>
          <w:p w:rsidR="00726BDD" w:rsidRDefault="00726BDD" w:rsidP="00726BDD">
            <w:pPr>
              <w:jc w:val="center"/>
            </w:pPr>
            <w:r>
              <w:t>Miehet</w:t>
            </w:r>
          </w:p>
        </w:tc>
        <w:tc>
          <w:tcPr>
            <w:tcW w:w="3210" w:type="dxa"/>
          </w:tcPr>
          <w:p w:rsidR="00726BDD" w:rsidRDefault="00726BDD" w:rsidP="00726BDD">
            <w:pPr>
              <w:jc w:val="center"/>
            </w:pPr>
            <w:r>
              <w:t>Naiset</w:t>
            </w:r>
          </w:p>
        </w:tc>
      </w:tr>
      <w:tr w:rsidR="00726BDD" w:rsidTr="00726BDD">
        <w:tc>
          <w:tcPr>
            <w:tcW w:w="3209" w:type="dxa"/>
          </w:tcPr>
          <w:p w:rsidR="00726BDD" w:rsidRDefault="00726BDD" w:rsidP="000A0AB0">
            <w:r>
              <w:t>Suhteellinen 5 vuoden eloonjäämisluku 2007-2009 (kaikki syövät)</w:t>
            </w:r>
          </w:p>
        </w:tc>
        <w:tc>
          <w:tcPr>
            <w:tcW w:w="3209" w:type="dxa"/>
          </w:tcPr>
          <w:p w:rsidR="00726BDD" w:rsidRDefault="00726BDD" w:rsidP="00726BDD">
            <w:pPr>
              <w:jc w:val="center"/>
            </w:pPr>
            <w:r>
              <w:t>62</w:t>
            </w:r>
          </w:p>
        </w:tc>
        <w:tc>
          <w:tcPr>
            <w:tcW w:w="3210" w:type="dxa"/>
          </w:tcPr>
          <w:p w:rsidR="00726BDD" w:rsidRDefault="00726BDD" w:rsidP="00726BDD">
            <w:pPr>
              <w:jc w:val="center"/>
            </w:pPr>
            <w:r>
              <w:t>66</w:t>
            </w:r>
          </w:p>
        </w:tc>
      </w:tr>
      <w:tr w:rsidR="00726BDD" w:rsidTr="00726BDD">
        <w:tc>
          <w:tcPr>
            <w:tcW w:w="3209" w:type="dxa"/>
          </w:tcPr>
          <w:p w:rsidR="00726BDD" w:rsidRDefault="00726BDD" w:rsidP="000A0AB0">
            <w:r>
              <w:t>Suhteellinen 5 vuoden eloonjäämisluku 2012-2014 (kaikki syövät)</w:t>
            </w:r>
          </w:p>
        </w:tc>
        <w:tc>
          <w:tcPr>
            <w:tcW w:w="3209" w:type="dxa"/>
          </w:tcPr>
          <w:p w:rsidR="00726BDD" w:rsidRDefault="00726BDD" w:rsidP="00726BDD">
            <w:pPr>
              <w:jc w:val="center"/>
            </w:pPr>
            <w:r>
              <w:t>67</w:t>
            </w:r>
          </w:p>
        </w:tc>
        <w:tc>
          <w:tcPr>
            <w:tcW w:w="3210" w:type="dxa"/>
          </w:tcPr>
          <w:p w:rsidR="00726BDD" w:rsidRDefault="00726BDD" w:rsidP="00726BDD">
            <w:pPr>
              <w:jc w:val="center"/>
            </w:pPr>
            <w:r>
              <w:t>70</w:t>
            </w:r>
          </w:p>
        </w:tc>
      </w:tr>
    </w:tbl>
    <w:p w:rsidR="00726BDD" w:rsidRDefault="00726BDD" w:rsidP="000A0AB0"/>
    <w:p w:rsidR="00C92F7F" w:rsidRDefault="00C92F7F" w:rsidP="000A0AB0">
      <w:r>
        <w:t>Myös ikävakioitu kuolleisuus on pääosin vähentynyt suurimmissa syöpätyypeissä</w:t>
      </w:r>
      <w:r w:rsidR="00976D54">
        <w:t xml:space="preserve"> (</w:t>
      </w:r>
      <w:r w:rsidR="00976D54">
        <w:fldChar w:fldCharType="begin"/>
      </w:r>
      <w:r w:rsidR="00976D54">
        <w:instrText xml:space="preserve"> REF _Ref486196297 \h </w:instrText>
      </w:r>
      <w:r w:rsidR="00976D54">
        <w:fldChar w:fldCharType="separate"/>
      </w:r>
      <w:r w:rsidR="00976D54">
        <w:t xml:space="preserve">Kuva </w:t>
      </w:r>
      <w:r w:rsidR="00976D54">
        <w:rPr>
          <w:noProof/>
        </w:rPr>
        <w:t>5</w:t>
      </w:r>
      <w:r w:rsidR="00976D54">
        <w:fldChar w:fldCharType="end"/>
      </w:r>
      <w:r w:rsidR="00976D54">
        <w:t>)</w:t>
      </w:r>
      <w:r>
        <w:t>. Naisten keuhkosyövissä kuolleisuus on selvästi lisääntynyt. Haima- ja munasarjasyövissä muutokset ovat vähäisiä.</w:t>
      </w:r>
    </w:p>
    <w:p w:rsidR="005F2CFA" w:rsidRDefault="00C92F7F" w:rsidP="00A27423">
      <w:pPr>
        <w:keepNext/>
      </w:pPr>
      <w:r w:rsidRPr="00C92F7F">
        <w:rPr>
          <w:noProof/>
          <w:lang w:eastAsia="fi-FI"/>
        </w:rPr>
        <w:drawing>
          <wp:inline distT="0" distB="0" distL="0" distR="0" wp14:anchorId="0C1ACBB3" wp14:editId="7B055143">
            <wp:extent cx="6120130" cy="3057567"/>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057567"/>
                    </a:xfrm>
                    <a:prstGeom prst="rect">
                      <a:avLst/>
                    </a:prstGeom>
                    <a:noFill/>
                    <a:ln>
                      <a:noFill/>
                    </a:ln>
                  </pic:spPr>
                </pic:pic>
              </a:graphicData>
            </a:graphic>
          </wp:inline>
        </w:drawing>
      </w:r>
    </w:p>
    <w:p w:rsidR="00C92F7F" w:rsidRPr="00460C07" w:rsidRDefault="005F2CFA" w:rsidP="00A27423">
      <w:pPr>
        <w:pStyle w:val="Caption"/>
      </w:pPr>
      <w:bookmarkStart w:id="5" w:name="_Ref486196297"/>
      <w:r>
        <w:t xml:space="preserve">Kuva </w:t>
      </w:r>
      <w:fldSimple w:instr=" SEQ Kuva \* ARABIC ">
        <w:r w:rsidR="00AF6C6F">
          <w:rPr>
            <w:noProof/>
          </w:rPr>
          <w:t>5</w:t>
        </w:r>
      </w:fldSimple>
      <w:bookmarkEnd w:id="5"/>
      <w:r>
        <w:t xml:space="preserve"> </w:t>
      </w:r>
      <w:r w:rsidRPr="00D72784">
        <w:t>Ikävakioitu kuolleisuus suurimpien syöpätyyppien osalta sekä keskiarvo kaikista syövistä. Lähde: Suomen syöpärekisteri.</w:t>
      </w:r>
    </w:p>
    <w:p w:rsidR="000A0AB0" w:rsidRPr="00460C07" w:rsidRDefault="00726BDD" w:rsidP="000A0AB0">
      <w:r>
        <w:t>Työkyvyttömyyseläkkeiden ja sairauspoissaolojen määrä potilasta kohden on myös vähentynyt (</w:t>
      </w:r>
      <w:r>
        <w:fldChar w:fldCharType="begin"/>
      </w:r>
      <w:r>
        <w:instrText xml:space="preserve"> REF _Ref473703171 \h </w:instrText>
      </w:r>
      <w:r>
        <w:fldChar w:fldCharType="separate"/>
      </w:r>
      <w:r>
        <w:t xml:space="preserve">Taulukko </w:t>
      </w:r>
      <w:r>
        <w:rPr>
          <w:noProof/>
        </w:rPr>
        <w:t>6</w:t>
      </w:r>
      <w:r>
        <w:fldChar w:fldCharType="end"/>
      </w:r>
      <w:r>
        <w:t xml:space="preserve">). </w:t>
      </w:r>
    </w:p>
    <w:p w:rsidR="00726BDD" w:rsidRDefault="00726BDD" w:rsidP="00726BDD">
      <w:pPr>
        <w:pStyle w:val="Caption"/>
        <w:keepNext/>
      </w:pPr>
      <w:bookmarkStart w:id="6" w:name="_Ref473703171"/>
      <w:r>
        <w:t xml:space="preserve">Taulukko </w:t>
      </w:r>
      <w:fldSimple w:instr=" SEQ Taulukko \* ARABIC ">
        <w:r w:rsidR="005229B3">
          <w:rPr>
            <w:noProof/>
          </w:rPr>
          <w:t>6</w:t>
        </w:r>
      </w:fldSimple>
      <w:bookmarkEnd w:id="6"/>
      <w:r>
        <w:t>. Pahanlaatuisiin kasvaimiin liittyvä työkyvyttömyys 2004, 2009 ja 2014.</w:t>
      </w:r>
    </w:p>
    <w:tbl>
      <w:tblPr>
        <w:tblStyle w:val="TableGrid"/>
        <w:tblW w:w="0" w:type="auto"/>
        <w:tblLook w:val="04A0" w:firstRow="1" w:lastRow="0" w:firstColumn="1" w:lastColumn="0" w:noHBand="0" w:noVBand="1"/>
      </w:tblPr>
      <w:tblGrid>
        <w:gridCol w:w="2770"/>
        <w:gridCol w:w="2286"/>
        <w:gridCol w:w="2286"/>
        <w:gridCol w:w="2286"/>
      </w:tblGrid>
      <w:tr w:rsidR="00726BDD" w:rsidRPr="00726BDD" w:rsidTr="00726BDD">
        <w:tc>
          <w:tcPr>
            <w:tcW w:w="2770" w:type="dxa"/>
          </w:tcPr>
          <w:p w:rsidR="00726BDD" w:rsidRPr="00726BDD" w:rsidRDefault="00726BDD" w:rsidP="00AD437E">
            <w:pPr>
              <w:rPr>
                <w:szCs w:val="24"/>
              </w:rPr>
            </w:pPr>
          </w:p>
        </w:tc>
        <w:tc>
          <w:tcPr>
            <w:tcW w:w="2286" w:type="dxa"/>
          </w:tcPr>
          <w:p w:rsidR="00726BDD" w:rsidRPr="00726BDD" w:rsidRDefault="00726BDD" w:rsidP="00726BDD">
            <w:pPr>
              <w:jc w:val="center"/>
              <w:rPr>
                <w:szCs w:val="24"/>
              </w:rPr>
            </w:pPr>
            <w:r w:rsidRPr="00726BDD">
              <w:rPr>
                <w:szCs w:val="24"/>
              </w:rPr>
              <w:t>2004</w:t>
            </w:r>
          </w:p>
        </w:tc>
        <w:tc>
          <w:tcPr>
            <w:tcW w:w="2286" w:type="dxa"/>
          </w:tcPr>
          <w:p w:rsidR="00726BDD" w:rsidRPr="00726BDD" w:rsidRDefault="00726BDD" w:rsidP="00726BDD">
            <w:pPr>
              <w:jc w:val="center"/>
              <w:rPr>
                <w:szCs w:val="24"/>
              </w:rPr>
            </w:pPr>
            <w:r w:rsidRPr="00726BDD">
              <w:rPr>
                <w:szCs w:val="24"/>
              </w:rPr>
              <w:t>2009</w:t>
            </w:r>
          </w:p>
        </w:tc>
        <w:tc>
          <w:tcPr>
            <w:tcW w:w="2286" w:type="dxa"/>
          </w:tcPr>
          <w:p w:rsidR="00726BDD" w:rsidRPr="00726BDD" w:rsidRDefault="00726BDD" w:rsidP="00726BDD">
            <w:pPr>
              <w:jc w:val="center"/>
              <w:rPr>
                <w:szCs w:val="24"/>
              </w:rPr>
            </w:pPr>
            <w:r w:rsidRPr="00726BDD">
              <w:rPr>
                <w:szCs w:val="24"/>
              </w:rPr>
              <w:t>2014</w:t>
            </w:r>
          </w:p>
        </w:tc>
      </w:tr>
      <w:tr w:rsidR="00726BDD" w:rsidRPr="00726BDD" w:rsidTr="00726BDD">
        <w:tc>
          <w:tcPr>
            <w:tcW w:w="2770" w:type="dxa"/>
          </w:tcPr>
          <w:p w:rsidR="00726BDD" w:rsidRPr="00726BDD" w:rsidRDefault="00726BDD" w:rsidP="00726BDD">
            <w:pPr>
              <w:rPr>
                <w:szCs w:val="24"/>
              </w:rPr>
            </w:pPr>
            <w:r w:rsidRPr="00726BDD">
              <w:rPr>
                <w:szCs w:val="24"/>
              </w:rPr>
              <w:t>Sairauspäivärahan saajat</w:t>
            </w:r>
          </w:p>
        </w:tc>
        <w:tc>
          <w:tcPr>
            <w:tcW w:w="2286" w:type="dxa"/>
            <w:vAlign w:val="bottom"/>
          </w:tcPr>
          <w:p w:rsidR="00726BDD" w:rsidRPr="00726BDD" w:rsidRDefault="00726BDD" w:rsidP="00726BDD">
            <w:pPr>
              <w:jc w:val="center"/>
              <w:rPr>
                <w:szCs w:val="24"/>
              </w:rPr>
            </w:pPr>
            <w:r w:rsidRPr="00726BDD">
              <w:rPr>
                <w:rFonts w:ascii="Calibri" w:hAnsi="Calibri" w:cs="Calibri"/>
                <w:color w:val="000000"/>
                <w:szCs w:val="24"/>
              </w:rPr>
              <w:t>12755</w:t>
            </w:r>
          </w:p>
        </w:tc>
        <w:tc>
          <w:tcPr>
            <w:tcW w:w="2286" w:type="dxa"/>
            <w:vAlign w:val="bottom"/>
          </w:tcPr>
          <w:p w:rsidR="00726BDD" w:rsidRPr="00726BDD" w:rsidRDefault="00726BDD" w:rsidP="00726BDD">
            <w:pPr>
              <w:jc w:val="center"/>
              <w:rPr>
                <w:szCs w:val="24"/>
              </w:rPr>
            </w:pPr>
            <w:r w:rsidRPr="00726BDD">
              <w:rPr>
                <w:rFonts w:ascii="Calibri" w:hAnsi="Calibri" w:cs="Calibri"/>
                <w:color w:val="000000"/>
                <w:szCs w:val="24"/>
              </w:rPr>
              <w:t>12671</w:t>
            </w:r>
          </w:p>
        </w:tc>
        <w:tc>
          <w:tcPr>
            <w:tcW w:w="2286" w:type="dxa"/>
            <w:vAlign w:val="bottom"/>
          </w:tcPr>
          <w:p w:rsidR="00726BDD" w:rsidRPr="00726BDD" w:rsidRDefault="00726BDD" w:rsidP="00726BDD">
            <w:pPr>
              <w:jc w:val="center"/>
              <w:rPr>
                <w:szCs w:val="24"/>
              </w:rPr>
            </w:pPr>
            <w:r w:rsidRPr="00726BDD">
              <w:rPr>
                <w:rFonts w:ascii="Calibri" w:hAnsi="Calibri" w:cs="Calibri"/>
                <w:color w:val="000000"/>
                <w:szCs w:val="24"/>
              </w:rPr>
              <w:t>10337</w:t>
            </w:r>
          </w:p>
        </w:tc>
      </w:tr>
      <w:tr w:rsidR="00726BDD" w:rsidRPr="00726BDD" w:rsidTr="00726BDD">
        <w:tc>
          <w:tcPr>
            <w:tcW w:w="2770" w:type="dxa"/>
          </w:tcPr>
          <w:p w:rsidR="00726BDD" w:rsidRPr="00726BDD" w:rsidRDefault="00726BDD" w:rsidP="00726BDD">
            <w:pPr>
              <w:rPr>
                <w:szCs w:val="24"/>
              </w:rPr>
            </w:pPr>
            <w:r w:rsidRPr="00726BDD">
              <w:rPr>
                <w:szCs w:val="24"/>
              </w:rPr>
              <w:t>Alkaneet kaudet</w:t>
            </w:r>
          </w:p>
        </w:tc>
        <w:tc>
          <w:tcPr>
            <w:tcW w:w="2286" w:type="dxa"/>
            <w:vAlign w:val="bottom"/>
          </w:tcPr>
          <w:p w:rsidR="00726BDD" w:rsidRPr="00726BDD" w:rsidRDefault="00726BDD" w:rsidP="00726BDD">
            <w:pPr>
              <w:jc w:val="center"/>
              <w:rPr>
                <w:szCs w:val="24"/>
              </w:rPr>
            </w:pPr>
            <w:r w:rsidRPr="00726BDD">
              <w:rPr>
                <w:rFonts w:ascii="Calibri" w:hAnsi="Calibri" w:cs="Calibri"/>
                <w:color w:val="000000"/>
                <w:szCs w:val="24"/>
              </w:rPr>
              <w:t>7051</w:t>
            </w:r>
          </w:p>
        </w:tc>
        <w:tc>
          <w:tcPr>
            <w:tcW w:w="2286" w:type="dxa"/>
            <w:vAlign w:val="bottom"/>
          </w:tcPr>
          <w:p w:rsidR="00726BDD" w:rsidRPr="00726BDD" w:rsidRDefault="00726BDD" w:rsidP="00726BDD">
            <w:pPr>
              <w:jc w:val="center"/>
              <w:rPr>
                <w:szCs w:val="24"/>
              </w:rPr>
            </w:pPr>
            <w:r w:rsidRPr="00726BDD">
              <w:rPr>
                <w:rFonts w:ascii="Calibri" w:hAnsi="Calibri" w:cs="Calibri"/>
                <w:color w:val="000000"/>
                <w:szCs w:val="24"/>
              </w:rPr>
              <w:t>7767</w:t>
            </w:r>
          </w:p>
        </w:tc>
        <w:tc>
          <w:tcPr>
            <w:tcW w:w="2286" w:type="dxa"/>
            <w:vAlign w:val="bottom"/>
          </w:tcPr>
          <w:p w:rsidR="00726BDD" w:rsidRPr="00726BDD" w:rsidRDefault="00726BDD" w:rsidP="00726BDD">
            <w:pPr>
              <w:jc w:val="center"/>
              <w:rPr>
                <w:szCs w:val="24"/>
              </w:rPr>
            </w:pPr>
            <w:r w:rsidRPr="00726BDD">
              <w:rPr>
                <w:rFonts w:ascii="Calibri" w:hAnsi="Calibri" w:cs="Calibri"/>
                <w:color w:val="000000"/>
                <w:szCs w:val="24"/>
              </w:rPr>
              <w:t>7870</w:t>
            </w:r>
          </w:p>
        </w:tc>
      </w:tr>
      <w:tr w:rsidR="00726BDD" w:rsidRPr="00726BDD" w:rsidTr="00726BDD">
        <w:tc>
          <w:tcPr>
            <w:tcW w:w="2770" w:type="dxa"/>
            <w:vAlign w:val="bottom"/>
          </w:tcPr>
          <w:p w:rsidR="00726BDD" w:rsidRPr="00726BDD" w:rsidRDefault="00726BDD" w:rsidP="00726BDD">
            <w:pPr>
              <w:rPr>
                <w:szCs w:val="24"/>
              </w:rPr>
            </w:pPr>
            <w:r w:rsidRPr="00726BDD">
              <w:rPr>
                <w:rFonts w:ascii="Calibri" w:hAnsi="Calibri" w:cs="Calibri"/>
                <w:color w:val="000000"/>
                <w:szCs w:val="24"/>
              </w:rPr>
              <w:t>Sairauspoissaolopäivät</w:t>
            </w:r>
          </w:p>
        </w:tc>
        <w:tc>
          <w:tcPr>
            <w:tcW w:w="2286" w:type="dxa"/>
            <w:vAlign w:val="bottom"/>
          </w:tcPr>
          <w:p w:rsidR="00726BDD" w:rsidRPr="00726BDD" w:rsidRDefault="00726BDD" w:rsidP="00726BDD">
            <w:pPr>
              <w:jc w:val="center"/>
              <w:rPr>
                <w:szCs w:val="24"/>
              </w:rPr>
            </w:pPr>
            <w:r w:rsidRPr="00726BDD">
              <w:rPr>
                <w:rFonts w:ascii="Calibri" w:hAnsi="Calibri" w:cs="Calibri"/>
                <w:color w:val="000000"/>
                <w:szCs w:val="24"/>
              </w:rPr>
              <w:t>821600</w:t>
            </w:r>
          </w:p>
        </w:tc>
        <w:tc>
          <w:tcPr>
            <w:tcW w:w="2286" w:type="dxa"/>
            <w:vAlign w:val="bottom"/>
          </w:tcPr>
          <w:p w:rsidR="00726BDD" w:rsidRPr="00726BDD" w:rsidRDefault="00726BDD" w:rsidP="00726BDD">
            <w:pPr>
              <w:jc w:val="center"/>
              <w:rPr>
                <w:szCs w:val="24"/>
              </w:rPr>
            </w:pPr>
            <w:r w:rsidRPr="00726BDD">
              <w:rPr>
                <w:rFonts w:ascii="Calibri" w:hAnsi="Calibri" w:cs="Calibri"/>
                <w:color w:val="000000"/>
                <w:szCs w:val="24"/>
              </w:rPr>
              <w:t>893300</w:t>
            </w:r>
          </w:p>
        </w:tc>
        <w:tc>
          <w:tcPr>
            <w:tcW w:w="2286" w:type="dxa"/>
            <w:vAlign w:val="bottom"/>
          </w:tcPr>
          <w:p w:rsidR="00726BDD" w:rsidRPr="00726BDD" w:rsidRDefault="00726BDD" w:rsidP="00726BDD">
            <w:pPr>
              <w:jc w:val="center"/>
              <w:rPr>
                <w:szCs w:val="24"/>
              </w:rPr>
            </w:pPr>
            <w:r w:rsidRPr="00726BDD">
              <w:rPr>
                <w:rFonts w:ascii="Calibri" w:hAnsi="Calibri" w:cs="Calibri"/>
                <w:color w:val="000000"/>
                <w:szCs w:val="24"/>
              </w:rPr>
              <w:t>882557</w:t>
            </w:r>
          </w:p>
        </w:tc>
      </w:tr>
      <w:tr w:rsidR="00726BDD" w:rsidRPr="00726BDD" w:rsidTr="00726BDD">
        <w:tc>
          <w:tcPr>
            <w:tcW w:w="2770" w:type="dxa"/>
          </w:tcPr>
          <w:p w:rsidR="00726BDD" w:rsidRPr="00726BDD" w:rsidRDefault="00726BDD" w:rsidP="00726BDD">
            <w:pPr>
              <w:rPr>
                <w:szCs w:val="24"/>
              </w:rPr>
            </w:pPr>
            <w:r w:rsidRPr="00726BDD">
              <w:rPr>
                <w:szCs w:val="24"/>
              </w:rPr>
              <w:t>Sairauspoissaolopäivät per uusi syöpäpotilas</w:t>
            </w:r>
          </w:p>
        </w:tc>
        <w:tc>
          <w:tcPr>
            <w:tcW w:w="2286" w:type="dxa"/>
            <w:vAlign w:val="bottom"/>
          </w:tcPr>
          <w:p w:rsidR="00726BDD" w:rsidRPr="00726BDD" w:rsidRDefault="00726BDD" w:rsidP="00726BDD">
            <w:pPr>
              <w:jc w:val="center"/>
              <w:rPr>
                <w:szCs w:val="24"/>
              </w:rPr>
            </w:pPr>
            <w:r w:rsidRPr="00726BDD">
              <w:rPr>
                <w:rFonts w:ascii="Calibri" w:hAnsi="Calibri" w:cs="Calibri"/>
                <w:color w:val="000000"/>
                <w:szCs w:val="24"/>
              </w:rPr>
              <w:t>31</w:t>
            </w:r>
          </w:p>
        </w:tc>
        <w:tc>
          <w:tcPr>
            <w:tcW w:w="2286" w:type="dxa"/>
            <w:vAlign w:val="bottom"/>
          </w:tcPr>
          <w:p w:rsidR="00726BDD" w:rsidRPr="00726BDD" w:rsidRDefault="00726BDD" w:rsidP="00726BDD">
            <w:pPr>
              <w:jc w:val="center"/>
              <w:rPr>
                <w:szCs w:val="24"/>
              </w:rPr>
            </w:pPr>
            <w:r w:rsidRPr="00726BDD">
              <w:rPr>
                <w:rFonts w:ascii="Calibri" w:hAnsi="Calibri" w:cs="Calibri"/>
                <w:color w:val="000000"/>
                <w:szCs w:val="24"/>
              </w:rPr>
              <w:t>30</w:t>
            </w:r>
          </w:p>
        </w:tc>
        <w:tc>
          <w:tcPr>
            <w:tcW w:w="2286" w:type="dxa"/>
            <w:vAlign w:val="bottom"/>
          </w:tcPr>
          <w:p w:rsidR="00726BDD" w:rsidRPr="00726BDD" w:rsidRDefault="00726BDD" w:rsidP="00726BDD">
            <w:pPr>
              <w:jc w:val="center"/>
              <w:rPr>
                <w:szCs w:val="24"/>
              </w:rPr>
            </w:pPr>
            <w:r w:rsidRPr="00726BDD">
              <w:rPr>
                <w:rFonts w:ascii="Calibri" w:hAnsi="Calibri" w:cs="Calibri"/>
                <w:color w:val="000000"/>
                <w:szCs w:val="24"/>
              </w:rPr>
              <w:t>27</w:t>
            </w:r>
          </w:p>
        </w:tc>
      </w:tr>
      <w:tr w:rsidR="003E76E7" w:rsidRPr="00726BDD" w:rsidTr="003E76E7">
        <w:tc>
          <w:tcPr>
            <w:tcW w:w="2770" w:type="dxa"/>
          </w:tcPr>
          <w:p w:rsidR="003E76E7" w:rsidRPr="00726BDD" w:rsidRDefault="003E76E7" w:rsidP="003E76E7">
            <w:pPr>
              <w:rPr>
                <w:szCs w:val="24"/>
              </w:rPr>
            </w:pPr>
            <w:r>
              <w:rPr>
                <w:szCs w:val="24"/>
              </w:rPr>
              <w:t>Työkyvyttömyyseläkkeelle siirtyneet</w:t>
            </w:r>
          </w:p>
        </w:tc>
        <w:tc>
          <w:tcPr>
            <w:tcW w:w="2286" w:type="dxa"/>
            <w:vAlign w:val="bottom"/>
          </w:tcPr>
          <w:p w:rsidR="003E76E7" w:rsidRPr="00726BDD" w:rsidRDefault="003E76E7" w:rsidP="003E76E7">
            <w:pPr>
              <w:jc w:val="center"/>
              <w:rPr>
                <w:szCs w:val="24"/>
              </w:rPr>
            </w:pPr>
            <w:r>
              <w:rPr>
                <w:rFonts w:ascii="Calibri" w:hAnsi="Calibri" w:cs="Calibri"/>
                <w:color w:val="000000"/>
                <w:sz w:val="22"/>
              </w:rPr>
              <w:t>1517</w:t>
            </w:r>
          </w:p>
        </w:tc>
        <w:tc>
          <w:tcPr>
            <w:tcW w:w="2286" w:type="dxa"/>
            <w:vAlign w:val="bottom"/>
          </w:tcPr>
          <w:p w:rsidR="003E76E7" w:rsidRPr="00726BDD" w:rsidRDefault="003E76E7" w:rsidP="003E76E7">
            <w:pPr>
              <w:jc w:val="center"/>
              <w:rPr>
                <w:szCs w:val="24"/>
              </w:rPr>
            </w:pPr>
            <w:r>
              <w:rPr>
                <w:rFonts w:ascii="Calibri" w:hAnsi="Calibri" w:cs="Calibri"/>
                <w:color w:val="000000"/>
                <w:sz w:val="22"/>
              </w:rPr>
              <w:t>1424</w:t>
            </w:r>
          </w:p>
        </w:tc>
        <w:tc>
          <w:tcPr>
            <w:tcW w:w="2286" w:type="dxa"/>
            <w:vAlign w:val="bottom"/>
          </w:tcPr>
          <w:p w:rsidR="003E76E7" w:rsidRPr="00726BDD" w:rsidRDefault="003E76E7" w:rsidP="003E76E7">
            <w:pPr>
              <w:jc w:val="center"/>
              <w:rPr>
                <w:szCs w:val="24"/>
              </w:rPr>
            </w:pPr>
            <w:r>
              <w:rPr>
                <w:rFonts w:ascii="Calibri" w:hAnsi="Calibri" w:cs="Calibri"/>
                <w:color w:val="000000"/>
                <w:sz w:val="22"/>
              </w:rPr>
              <w:t>1328</w:t>
            </w:r>
          </w:p>
        </w:tc>
      </w:tr>
      <w:tr w:rsidR="003E76E7" w:rsidRPr="00726BDD" w:rsidTr="003E76E7">
        <w:tc>
          <w:tcPr>
            <w:tcW w:w="2770" w:type="dxa"/>
          </w:tcPr>
          <w:p w:rsidR="003E76E7" w:rsidRDefault="003E76E7" w:rsidP="003E76E7">
            <w:pPr>
              <w:rPr>
                <w:szCs w:val="24"/>
              </w:rPr>
            </w:pPr>
            <w:r>
              <w:rPr>
                <w:szCs w:val="24"/>
              </w:rPr>
              <w:lastRenderedPageBreak/>
              <w:t>Työkyvyttömyyseläkkeelle siirtyneet per 1000 uutta syöpäpotilasta</w:t>
            </w:r>
          </w:p>
        </w:tc>
        <w:tc>
          <w:tcPr>
            <w:tcW w:w="2286" w:type="dxa"/>
            <w:vAlign w:val="bottom"/>
          </w:tcPr>
          <w:p w:rsidR="003E76E7" w:rsidRPr="003E76E7" w:rsidRDefault="003E76E7" w:rsidP="003E76E7">
            <w:pPr>
              <w:jc w:val="center"/>
              <w:rPr>
                <w:rFonts w:ascii="Calibri" w:hAnsi="Calibri" w:cs="Calibri"/>
                <w:color w:val="000000"/>
                <w:szCs w:val="24"/>
              </w:rPr>
            </w:pPr>
            <w:r w:rsidRPr="003E76E7">
              <w:rPr>
                <w:rFonts w:ascii="Calibri" w:hAnsi="Calibri" w:cs="Calibri"/>
                <w:color w:val="000000"/>
                <w:szCs w:val="24"/>
              </w:rPr>
              <w:t>57</w:t>
            </w:r>
          </w:p>
        </w:tc>
        <w:tc>
          <w:tcPr>
            <w:tcW w:w="2286" w:type="dxa"/>
            <w:vAlign w:val="bottom"/>
          </w:tcPr>
          <w:p w:rsidR="003E76E7" w:rsidRPr="003E76E7" w:rsidRDefault="003E76E7" w:rsidP="003E76E7">
            <w:pPr>
              <w:jc w:val="center"/>
              <w:rPr>
                <w:rFonts w:ascii="Calibri" w:hAnsi="Calibri" w:cs="Calibri"/>
                <w:color w:val="000000"/>
                <w:szCs w:val="24"/>
              </w:rPr>
            </w:pPr>
            <w:r w:rsidRPr="003E76E7">
              <w:rPr>
                <w:rFonts w:ascii="Calibri" w:hAnsi="Calibri" w:cs="Calibri"/>
                <w:color w:val="000000"/>
                <w:szCs w:val="24"/>
              </w:rPr>
              <w:t>48</w:t>
            </w:r>
          </w:p>
        </w:tc>
        <w:tc>
          <w:tcPr>
            <w:tcW w:w="2286" w:type="dxa"/>
            <w:vAlign w:val="bottom"/>
          </w:tcPr>
          <w:p w:rsidR="003E76E7" w:rsidRPr="003E76E7" w:rsidRDefault="003E76E7" w:rsidP="003E76E7">
            <w:pPr>
              <w:jc w:val="center"/>
              <w:rPr>
                <w:rFonts w:ascii="Calibri" w:hAnsi="Calibri" w:cs="Calibri"/>
                <w:color w:val="000000"/>
                <w:szCs w:val="24"/>
              </w:rPr>
            </w:pPr>
            <w:r w:rsidRPr="003E76E7">
              <w:rPr>
                <w:rFonts w:ascii="Calibri" w:hAnsi="Calibri" w:cs="Calibri"/>
                <w:color w:val="000000"/>
                <w:szCs w:val="24"/>
              </w:rPr>
              <w:t>41</w:t>
            </w:r>
          </w:p>
        </w:tc>
      </w:tr>
    </w:tbl>
    <w:p w:rsidR="00AD437E" w:rsidRPr="00726BDD" w:rsidRDefault="00AD437E" w:rsidP="00AD437E">
      <w:pPr>
        <w:rPr>
          <w:szCs w:val="24"/>
        </w:rPr>
      </w:pPr>
    </w:p>
    <w:p w:rsidR="00D471CE" w:rsidRDefault="00D471CE" w:rsidP="00D471CE">
      <w:pPr>
        <w:pStyle w:val="Heading1"/>
      </w:pPr>
      <w:r>
        <w:t>Yhteenveto: Syövän hoito 2004-2014</w:t>
      </w:r>
    </w:p>
    <w:p w:rsidR="005229B3" w:rsidRDefault="00D471CE" w:rsidP="005229B3">
      <w:pPr>
        <w:pStyle w:val="PlainText"/>
        <w:rPr>
          <w:szCs w:val="24"/>
        </w:rPr>
      </w:pPr>
      <w:r>
        <w:rPr>
          <w:szCs w:val="24"/>
        </w:rPr>
        <w:t xml:space="preserve">Kokonaiskustannukset ovat </w:t>
      </w:r>
      <w:r w:rsidR="00976D54">
        <w:rPr>
          <w:szCs w:val="24"/>
        </w:rPr>
        <w:t xml:space="preserve">kasvaneet </w:t>
      </w:r>
      <w:r>
        <w:rPr>
          <w:szCs w:val="24"/>
        </w:rPr>
        <w:t xml:space="preserve">maltillisemmin kuin on arvioitu aikaisemmassa vastaavassa selvityksessä (Mäklin ja Rissanen, 2006). </w:t>
      </w:r>
      <w:r w:rsidR="005229B3">
        <w:rPr>
          <w:szCs w:val="24"/>
        </w:rPr>
        <w:t xml:space="preserve">Kustannukset ovat kasvaneet n. 3 </w:t>
      </w:r>
      <w:r w:rsidR="000E3840">
        <w:rPr>
          <w:szCs w:val="24"/>
        </w:rPr>
        <w:t>prosenttia</w:t>
      </w:r>
      <w:r w:rsidR="005229B3">
        <w:rPr>
          <w:szCs w:val="24"/>
        </w:rPr>
        <w:t xml:space="preserve"> vuodessa, mistä n. 2/3 liittyy potilasmäärän kasvuun ja 1/3 kustannusten kasvuun. Kun otetaan huomioon yleinen hintatason muutos, kokonaiskustannukset ovat kasvaneet </w:t>
      </w:r>
      <w:r w:rsidR="00976D54">
        <w:rPr>
          <w:szCs w:val="24"/>
        </w:rPr>
        <w:t xml:space="preserve">vain </w:t>
      </w:r>
      <w:r w:rsidR="005229B3">
        <w:rPr>
          <w:szCs w:val="24"/>
        </w:rPr>
        <w:t xml:space="preserve">1 </w:t>
      </w:r>
      <w:r w:rsidR="000E3840">
        <w:rPr>
          <w:szCs w:val="24"/>
        </w:rPr>
        <w:t>prosentin</w:t>
      </w:r>
      <w:r w:rsidR="005229B3">
        <w:rPr>
          <w:szCs w:val="24"/>
        </w:rPr>
        <w:t xml:space="preserve"> vuodessa ja kustannukset potilasta kohden ovat laskeneet hieman. Hoito on muuttunut avopainotteisemmaksi ja eläkekustannukset ovat vähentyneet. Lääkekustannukset ovat kasvaneet nopeasti sekä sairaalassa annettavassa hoidossa että KELA:n korvaami</w:t>
      </w:r>
      <w:r w:rsidR="00976D54">
        <w:rPr>
          <w:szCs w:val="24"/>
        </w:rPr>
        <w:t>ssa</w:t>
      </w:r>
      <w:r w:rsidR="005229B3">
        <w:rPr>
          <w:szCs w:val="24"/>
        </w:rPr>
        <w:t xml:space="preserve"> lääkkei</w:t>
      </w:r>
      <w:r w:rsidR="00976D54">
        <w:rPr>
          <w:szCs w:val="24"/>
        </w:rPr>
        <w:t>ssä</w:t>
      </w:r>
      <w:r w:rsidR="005229B3">
        <w:rPr>
          <w:szCs w:val="24"/>
        </w:rPr>
        <w:t xml:space="preserve">. </w:t>
      </w:r>
    </w:p>
    <w:p w:rsidR="005229B3" w:rsidRDefault="005229B3" w:rsidP="00D471CE">
      <w:pPr>
        <w:pStyle w:val="PlainText"/>
        <w:rPr>
          <w:szCs w:val="24"/>
        </w:rPr>
      </w:pPr>
    </w:p>
    <w:p w:rsidR="005229B3" w:rsidRDefault="005229B3" w:rsidP="00D471CE">
      <w:pPr>
        <w:pStyle w:val="PlainText"/>
        <w:rPr>
          <w:szCs w:val="24"/>
        </w:rPr>
      </w:pPr>
      <w:r>
        <w:rPr>
          <w:szCs w:val="24"/>
        </w:rPr>
        <w:t xml:space="preserve">Kustannusten kasvu on ollut Suomessa myös </w:t>
      </w:r>
      <w:r w:rsidR="00976D54">
        <w:rPr>
          <w:szCs w:val="24"/>
        </w:rPr>
        <w:t xml:space="preserve">hitaampaa </w:t>
      </w:r>
      <w:r>
        <w:rPr>
          <w:szCs w:val="24"/>
        </w:rPr>
        <w:t>kuin kansainvälisissä tutkimuksissa on todettu tai ennustettu (</w:t>
      </w:r>
      <w:r>
        <w:rPr>
          <w:szCs w:val="24"/>
        </w:rPr>
        <w:fldChar w:fldCharType="begin"/>
      </w:r>
      <w:r>
        <w:rPr>
          <w:szCs w:val="24"/>
        </w:rPr>
        <w:instrText xml:space="preserve"> REF _Ref486169275 \h </w:instrText>
      </w:r>
      <w:r>
        <w:rPr>
          <w:szCs w:val="24"/>
        </w:rPr>
      </w:r>
      <w:r>
        <w:rPr>
          <w:szCs w:val="24"/>
        </w:rPr>
        <w:fldChar w:fldCharType="separate"/>
      </w:r>
      <w:r>
        <w:t xml:space="preserve">Taulukko </w:t>
      </w:r>
      <w:r>
        <w:rPr>
          <w:noProof/>
        </w:rPr>
        <w:t>7</w:t>
      </w:r>
      <w:r>
        <w:rPr>
          <w:szCs w:val="24"/>
        </w:rPr>
        <w:fldChar w:fldCharType="end"/>
      </w:r>
      <w:r>
        <w:rPr>
          <w:szCs w:val="24"/>
        </w:rPr>
        <w:t xml:space="preserve">). Aikaisemmissa tutkimuksissa hoidon kustannusten kasvu on ollut keskimäärin 3-4 </w:t>
      </w:r>
      <w:r w:rsidR="000E3840">
        <w:rPr>
          <w:szCs w:val="24"/>
        </w:rPr>
        <w:t>prosentin</w:t>
      </w:r>
      <w:r>
        <w:rPr>
          <w:szCs w:val="24"/>
        </w:rPr>
        <w:t xml:space="preserve"> luokkaa ja kokonaiskustannusten kasvu 2-5 </w:t>
      </w:r>
      <w:r w:rsidR="000E3840">
        <w:rPr>
          <w:szCs w:val="24"/>
        </w:rPr>
        <w:t>prosentin</w:t>
      </w:r>
      <w:r>
        <w:rPr>
          <w:szCs w:val="24"/>
        </w:rPr>
        <w:t>.</w:t>
      </w:r>
    </w:p>
    <w:p w:rsidR="005229B3" w:rsidRDefault="005229B3" w:rsidP="00D471CE">
      <w:pPr>
        <w:pStyle w:val="PlainText"/>
        <w:rPr>
          <w:szCs w:val="24"/>
        </w:rPr>
      </w:pPr>
    </w:p>
    <w:p w:rsidR="005229B3" w:rsidRDefault="005229B3" w:rsidP="005229B3">
      <w:pPr>
        <w:pStyle w:val="Caption"/>
        <w:keepNext/>
      </w:pPr>
      <w:bookmarkStart w:id="7" w:name="_Ref486169275"/>
      <w:r>
        <w:t xml:space="preserve">Taulukko </w:t>
      </w:r>
      <w:fldSimple w:instr=" SEQ Taulukko \* ARABIC ">
        <w:r>
          <w:rPr>
            <w:noProof/>
          </w:rPr>
          <w:t>7</w:t>
        </w:r>
      </w:fldSimple>
      <w:bookmarkEnd w:id="7"/>
      <w:r>
        <w:t>. Yhteenveto aikaisemmissa tutkimuksissa havaituista kustannuskehityksistä.</w:t>
      </w:r>
    </w:p>
    <w:tbl>
      <w:tblPr>
        <w:tblStyle w:val="TableGrid"/>
        <w:tblW w:w="0" w:type="auto"/>
        <w:tblLayout w:type="fixed"/>
        <w:tblLook w:val="04A0" w:firstRow="1" w:lastRow="0" w:firstColumn="1" w:lastColumn="0" w:noHBand="0" w:noVBand="1"/>
      </w:tblPr>
      <w:tblGrid>
        <w:gridCol w:w="1555"/>
        <w:gridCol w:w="992"/>
        <w:gridCol w:w="1417"/>
        <w:gridCol w:w="1418"/>
        <w:gridCol w:w="2126"/>
        <w:gridCol w:w="1843"/>
      </w:tblGrid>
      <w:tr w:rsidR="005229B3" w:rsidRPr="004A305E" w:rsidTr="00A27423">
        <w:tc>
          <w:tcPr>
            <w:tcW w:w="1555" w:type="dxa"/>
          </w:tcPr>
          <w:p w:rsidR="005229B3" w:rsidRPr="00FA418A" w:rsidRDefault="004A305E" w:rsidP="0038613E">
            <w:pPr>
              <w:rPr>
                <w:rFonts w:ascii="Times New Roman" w:hAnsi="Times New Roman" w:cs="Times New Roman"/>
                <w:b/>
                <w:sz w:val="20"/>
                <w:szCs w:val="20"/>
                <w:lang w:val="en-GB"/>
              </w:rPr>
            </w:pPr>
            <w:r>
              <w:rPr>
                <w:rFonts w:ascii="Times New Roman" w:hAnsi="Times New Roman" w:cs="Times New Roman"/>
                <w:b/>
                <w:sz w:val="20"/>
                <w:szCs w:val="20"/>
                <w:lang w:val="en-GB"/>
              </w:rPr>
              <w:t>Tutkimus</w:t>
            </w:r>
          </w:p>
        </w:tc>
        <w:tc>
          <w:tcPr>
            <w:tcW w:w="992" w:type="dxa"/>
          </w:tcPr>
          <w:p w:rsidR="005229B3" w:rsidRPr="00FA418A" w:rsidRDefault="004A305E" w:rsidP="0038613E">
            <w:pPr>
              <w:rPr>
                <w:rFonts w:ascii="Times New Roman" w:hAnsi="Times New Roman" w:cs="Times New Roman"/>
                <w:b/>
                <w:sz w:val="20"/>
                <w:szCs w:val="20"/>
                <w:lang w:val="en-GB"/>
              </w:rPr>
            </w:pPr>
            <w:r>
              <w:rPr>
                <w:rFonts w:ascii="Times New Roman" w:hAnsi="Times New Roman" w:cs="Times New Roman"/>
                <w:b/>
                <w:sz w:val="20"/>
                <w:szCs w:val="20"/>
                <w:lang w:val="en-GB"/>
              </w:rPr>
              <w:t>Maa</w:t>
            </w:r>
          </w:p>
        </w:tc>
        <w:tc>
          <w:tcPr>
            <w:tcW w:w="1417" w:type="dxa"/>
          </w:tcPr>
          <w:p w:rsidR="005229B3" w:rsidRPr="00FA418A" w:rsidRDefault="004A305E" w:rsidP="0038613E">
            <w:pPr>
              <w:rPr>
                <w:rFonts w:ascii="Times New Roman" w:hAnsi="Times New Roman" w:cs="Times New Roman"/>
                <w:b/>
                <w:sz w:val="20"/>
                <w:szCs w:val="20"/>
                <w:lang w:val="en-GB"/>
              </w:rPr>
            </w:pPr>
            <w:r>
              <w:rPr>
                <w:rFonts w:ascii="Times New Roman" w:hAnsi="Times New Roman" w:cs="Times New Roman"/>
                <w:b/>
                <w:sz w:val="20"/>
                <w:szCs w:val="20"/>
                <w:lang w:val="en-GB"/>
              </w:rPr>
              <w:t>Tarkastellut kustannukset</w:t>
            </w:r>
          </w:p>
        </w:tc>
        <w:tc>
          <w:tcPr>
            <w:tcW w:w="1418" w:type="dxa"/>
          </w:tcPr>
          <w:p w:rsidR="005229B3" w:rsidRPr="00FA418A" w:rsidRDefault="004A305E">
            <w:pPr>
              <w:rPr>
                <w:rFonts w:ascii="Times New Roman" w:hAnsi="Times New Roman" w:cs="Times New Roman"/>
                <w:b/>
                <w:sz w:val="20"/>
                <w:szCs w:val="20"/>
                <w:lang w:val="en-GB"/>
              </w:rPr>
            </w:pPr>
            <w:r>
              <w:rPr>
                <w:rFonts w:ascii="Times New Roman" w:hAnsi="Times New Roman" w:cs="Times New Roman"/>
                <w:b/>
                <w:sz w:val="20"/>
                <w:szCs w:val="20"/>
                <w:lang w:val="en-GB"/>
              </w:rPr>
              <w:t xml:space="preserve">Vuodet </w:t>
            </w:r>
            <w:r w:rsidR="005229B3" w:rsidRPr="00FA418A">
              <w:rPr>
                <w:rFonts w:ascii="Times New Roman" w:hAnsi="Times New Roman" w:cs="Times New Roman"/>
                <w:b/>
                <w:sz w:val="20"/>
                <w:szCs w:val="20"/>
                <w:lang w:val="en-GB"/>
              </w:rPr>
              <w:t>(</w:t>
            </w:r>
            <w:r>
              <w:rPr>
                <w:rFonts w:ascii="Times New Roman" w:hAnsi="Times New Roman" w:cs="Times New Roman"/>
                <w:b/>
                <w:sz w:val="20"/>
                <w:szCs w:val="20"/>
                <w:lang w:val="en-GB"/>
              </w:rPr>
              <w:t>havainto vai ennuste</w:t>
            </w:r>
            <w:r w:rsidR="005229B3" w:rsidRPr="00FA418A">
              <w:rPr>
                <w:rFonts w:ascii="Times New Roman" w:hAnsi="Times New Roman" w:cs="Times New Roman"/>
                <w:b/>
                <w:sz w:val="20"/>
                <w:szCs w:val="20"/>
                <w:lang w:val="en-GB"/>
              </w:rPr>
              <w:t>)</w:t>
            </w:r>
          </w:p>
        </w:tc>
        <w:tc>
          <w:tcPr>
            <w:tcW w:w="2126" w:type="dxa"/>
          </w:tcPr>
          <w:p w:rsidR="005229B3" w:rsidRPr="00FA418A" w:rsidRDefault="004A305E">
            <w:pPr>
              <w:rPr>
                <w:rFonts w:ascii="Times New Roman" w:hAnsi="Times New Roman" w:cs="Times New Roman"/>
                <w:b/>
                <w:sz w:val="20"/>
                <w:szCs w:val="20"/>
                <w:lang w:val="en-GB"/>
              </w:rPr>
            </w:pPr>
            <w:r>
              <w:rPr>
                <w:rFonts w:ascii="Times New Roman" w:hAnsi="Times New Roman" w:cs="Times New Roman"/>
                <w:b/>
                <w:sz w:val="20"/>
                <w:szCs w:val="20"/>
                <w:lang w:val="en-GB"/>
              </w:rPr>
              <w:t xml:space="preserve">Keskimääräinen vuosimuutos </w:t>
            </w:r>
            <w:r w:rsidR="005229B3" w:rsidRPr="00FA418A">
              <w:rPr>
                <w:rFonts w:ascii="Times New Roman" w:hAnsi="Times New Roman" w:cs="Times New Roman"/>
                <w:b/>
                <w:sz w:val="20"/>
                <w:szCs w:val="20"/>
                <w:lang w:val="en-GB"/>
              </w:rPr>
              <w:t xml:space="preserve">(%) </w:t>
            </w:r>
            <w:r>
              <w:rPr>
                <w:rFonts w:ascii="Times New Roman" w:hAnsi="Times New Roman" w:cs="Times New Roman"/>
                <w:b/>
                <w:sz w:val="20"/>
                <w:szCs w:val="20"/>
                <w:lang w:val="en-GB"/>
              </w:rPr>
              <w:t>reaalikustannuksissa</w:t>
            </w:r>
          </w:p>
        </w:tc>
        <w:tc>
          <w:tcPr>
            <w:tcW w:w="1843" w:type="dxa"/>
          </w:tcPr>
          <w:p w:rsidR="005229B3" w:rsidRPr="00A27423" w:rsidRDefault="004A305E">
            <w:pPr>
              <w:rPr>
                <w:rFonts w:ascii="Times New Roman" w:hAnsi="Times New Roman" w:cs="Times New Roman"/>
                <w:b/>
                <w:sz w:val="20"/>
                <w:szCs w:val="20"/>
              </w:rPr>
            </w:pPr>
            <w:r w:rsidRPr="00A27423">
              <w:rPr>
                <w:rFonts w:ascii="Times New Roman" w:eastAsia="Times New Roman" w:hAnsi="Times New Roman" w:cs="Times New Roman"/>
                <w:b/>
                <w:bCs/>
                <w:sz w:val="20"/>
                <w:szCs w:val="20"/>
                <w:lang w:eastAsia="fi-FI"/>
              </w:rPr>
              <w:t>Keskimääräinen vuosimuutos Suomessa 2004-2014 reaalikustannuksisa</w:t>
            </w:r>
          </w:p>
        </w:tc>
      </w:tr>
      <w:tr w:rsidR="005229B3" w:rsidRPr="005C74DF" w:rsidTr="00A27423">
        <w:tc>
          <w:tcPr>
            <w:tcW w:w="1555" w:type="dxa"/>
          </w:tcPr>
          <w:p w:rsidR="005229B3" w:rsidRPr="00A27423" w:rsidRDefault="005229B3">
            <w:pPr>
              <w:rPr>
                <w:rFonts w:ascii="Times New Roman" w:hAnsi="Times New Roman" w:cs="Times New Roman"/>
                <w:sz w:val="22"/>
              </w:rPr>
            </w:pPr>
            <w:r w:rsidRPr="00A27423">
              <w:rPr>
                <w:rFonts w:ascii="Times New Roman" w:hAnsi="Times New Roman" w:cs="Times New Roman"/>
                <w:sz w:val="22"/>
              </w:rPr>
              <w:t xml:space="preserve">Mariotto </w:t>
            </w:r>
            <w:r w:rsidR="008202FA" w:rsidRPr="00A27423">
              <w:rPr>
                <w:rFonts w:ascii="Times New Roman" w:hAnsi="Times New Roman" w:cs="Times New Roman"/>
                <w:sz w:val="22"/>
              </w:rPr>
              <w:t>ym.</w:t>
            </w:r>
            <w:r w:rsidRPr="00A27423">
              <w:rPr>
                <w:rFonts w:ascii="Times New Roman" w:hAnsi="Times New Roman" w:cs="Times New Roman"/>
                <w:sz w:val="22"/>
              </w:rPr>
              <w:t xml:space="preserve"> 2011</w:t>
            </w:r>
          </w:p>
        </w:tc>
        <w:tc>
          <w:tcPr>
            <w:tcW w:w="992" w:type="dxa"/>
          </w:tcPr>
          <w:p w:rsidR="005229B3" w:rsidRPr="00A27423" w:rsidRDefault="005229B3" w:rsidP="0038613E">
            <w:pPr>
              <w:rPr>
                <w:rFonts w:ascii="Times New Roman" w:hAnsi="Times New Roman" w:cs="Times New Roman"/>
                <w:sz w:val="22"/>
              </w:rPr>
            </w:pPr>
            <w:r w:rsidRPr="00A27423">
              <w:rPr>
                <w:rFonts w:ascii="Times New Roman" w:hAnsi="Times New Roman" w:cs="Times New Roman"/>
                <w:sz w:val="22"/>
              </w:rPr>
              <w:t>USA</w:t>
            </w:r>
          </w:p>
        </w:tc>
        <w:tc>
          <w:tcPr>
            <w:tcW w:w="1417" w:type="dxa"/>
          </w:tcPr>
          <w:p w:rsidR="005229B3" w:rsidRPr="00A27423" w:rsidRDefault="004A305E">
            <w:pPr>
              <w:pStyle w:val="ListParagraph"/>
              <w:numPr>
                <w:ilvl w:val="0"/>
                <w:numId w:val="21"/>
              </w:numPr>
              <w:ind w:left="174" w:hanging="219"/>
              <w:jc w:val="left"/>
              <w:rPr>
                <w:rFonts w:ascii="Times New Roman" w:hAnsi="Times New Roman" w:cs="Times New Roman"/>
              </w:rPr>
            </w:pPr>
            <w:r w:rsidRPr="00A27423">
              <w:rPr>
                <w:rFonts w:ascii="Times New Roman" w:hAnsi="Times New Roman" w:cs="Times New Roman"/>
              </w:rPr>
              <w:t xml:space="preserve">Hoidon kustannukset </w:t>
            </w:r>
            <w:r w:rsidR="005229B3" w:rsidRPr="00A27423">
              <w:rPr>
                <w:rFonts w:ascii="Times New Roman" w:hAnsi="Times New Roman" w:cs="Times New Roman"/>
              </w:rPr>
              <w:t xml:space="preserve">2001-2006 </w:t>
            </w:r>
            <w:r w:rsidRPr="00A27423">
              <w:rPr>
                <w:rFonts w:ascii="Times New Roman" w:hAnsi="Times New Roman" w:cs="Times New Roman"/>
              </w:rPr>
              <w:t>yli 65-vuotiailla</w:t>
            </w:r>
          </w:p>
        </w:tc>
        <w:tc>
          <w:tcPr>
            <w:tcW w:w="1418" w:type="dxa"/>
          </w:tcPr>
          <w:p w:rsidR="005229B3" w:rsidRPr="005C74DF" w:rsidRDefault="005229B3">
            <w:pPr>
              <w:rPr>
                <w:rFonts w:ascii="Times New Roman" w:hAnsi="Times New Roman" w:cs="Times New Roman"/>
                <w:sz w:val="22"/>
                <w:lang w:val="en-GB"/>
              </w:rPr>
            </w:pPr>
            <w:r w:rsidRPr="00A27423">
              <w:rPr>
                <w:rFonts w:ascii="Times New Roman" w:hAnsi="Times New Roman" w:cs="Times New Roman"/>
                <w:sz w:val="22"/>
              </w:rPr>
              <w:t>2010 (</w:t>
            </w:r>
            <w:r w:rsidR="004A305E" w:rsidRPr="00A27423">
              <w:rPr>
                <w:rFonts w:ascii="Times New Roman" w:hAnsi="Times New Roman" w:cs="Times New Roman"/>
                <w:sz w:val="22"/>
              </w:rPr>
              <w:t>ennuste</w:t>
            </w:r>
            <w:r w:rsidRPr="00A27423">
              <w:rPr>
                <w:rFonts w:ascii="Times New Roman" w:hAnsi="Times New Roman" w:cs="Times New Roman"/>
                <w:sz w:val="22"/>
              </w:rPr>
              <w:t>) – 2020 (</w:t>
            </w:r>
            <w:r w:rsidR="004A305E">
              <w:rPr>
                <w:rFonts w:ascii="Times New Roman" w:hAnsi="Times New Roman" w:cs="Times New Roman"/>
                <w:sz w:val="22"/>
                <w:lang w:val="en-GB"/>
              </w:rPr>
              <w:t>ennuste</w:t>
            </w:r>
            <w:r w:rsidRPr="005C74DF">
              <w:rPr>
                <w:rFonts w:ascii="Times New Roman" w:hAnsi="Times New Roman" w:cs="Times New Roman"/>
                <w:sz w:val="22"/>
                <w:lang w:val="en-GB"/>
              </w:rPr>
              <w:t>)</w:t>
            </w:r>
          </w:p>
        </w:tc>
        <w:tc>
          <w:tcPr>
            <w:tcW w:w="2126" w:type="dxa"/>
          </w:tcPr>
          <w:p w:rsidR="005229B3" w:rsidRPr="005C74DF" w:rsidRDefault="005229B3" w:rsidP="0038613E">
            <w:pPr>
              <w:rPr>
                <w:rFonts w:ascii="Times New Roman" w:hAnsi="Times New Roman" w:cs="Times New Roman"/>
                <w:sz w:val="22"/>
                <w:lang w:val="en-GB"/>
              </w:rPr>
            </w:pPr>
            <w:r w:rsidRPr="005C74DF">
              <w:rPr>
                <w:rFonts w:ascii="Times New Roman" w:hAnsi="Times New Roman" w:cs="Times New Roman"/>
                <w:sz w:val="22"/>
                <w:lang w:val="en-GB"/>
              </w:rPr>
              <w:t>2.4% (</w:t>
            </w:r>
            <w:r w:rsidR="004A305E">
              <w:rPr>
                <w:rFonts w:ascii="Times New Roman" w:hAnsi="Times New Roman" w:cs="Times New Roman"/>
                <w:sz w:val="22"/>
                <w:lang w:val="en-GB"/>
              </w:rPr>
              <w:t xml:space="preserve">jos </w:t>
            </w:r>
            <w:r w:rsidR="008202FA">
              <w:rPr>
                <w:rFonts w:ascii="Times New Roman" w:hAnsi="Times New Roman" w:cs="Times New Roman"/>
                <w:sz w:val="22"/>
                <w:lang w:val="en-GB"/>
              </w:rPr>
              <w:t>hoitokustannukset vakiot</w:t>
            </w:r>
            <w:r w:rsidRPr="005C74DF">
              <w:rPr>
                <w:rFonts w:ascii="Times New Roman" w:hAnsi="Times New Roman" w:cs="Times New Roman"/>
                <w:sz w:val="22"/>
                <w:lang w:val="en-GB"/>
              </w:rPr>
              <w:t>)</w:t>
            </w:r>
          </w:p>
          <w:p w:rsidR="005229B3" w:rsidRPr="005C74DF" w:rsidRDefault="005229B3">
            <w:pPr>
              <w:rPr>
                <w:rFonts w:ascii="Times New Roman" w:hAnsi="Times New Roman" w:cs="Times New Roman"/>
                <w:sz w:val="22"/>
                <w:lang w:val="en-GB"/>
              </w:rPr>
            </w:pPr>
            <w:r w:rsidRPr="005C74DF">
              <w:rPr>
                <w:rFonts w:ascii="Times New Roman" w:hAnsi="Times New Roman" w:cs="Times New Roman"/>
                <w:sz w:val="22"/>
                <w:lang w:val="en-GB"/>
              </w:rPr>
              <w:t>3.2% (</w:t>
            </w:r>
            <w:r w:rsidR="008202FA">
              <w:rPr>
                <w:rFonts w:ascii="Times New Roman" w:hAnsi="Times New Roman" w:cs="Times New Roman"/>
                <w:sz w:val="22"/>
                <w:lang w:val="en-GB"/>
              </w:rPr>
              <w:t xml:space="preserve">jos hoitokustannukset kasvavat </w:t>
            </w:r>
            <w:r w:rsidRPr="005C74DF">
              <w:rPr>
                <w:rFonts w:ascii="Times New Roman" w:hAnsi="Times New Roman" w:cs="Times New Roman"/>
                <w:sz w:val="22"/>
                <w:lang w:val="en-GB"/>
              </w:rPr>
              <w:t xml:space="preserve">2% </w:t>
            </w:r>
            <w:r w:rsidR="008202FA">
              <w:rPr>
                <w:rFonts w:ascii="Times New Roman" w:hAnsi="Times New Roman" w:cs="Times New Roman"/>
                <w:sz w:val="22"/>
                <w:lang w:val="en-GB"/>
              </w:rPr>
              <w:t>vuosittain</w:t>
            </w:r>
            <w:r w:rsidRPr="005C74DF">
              <w:rPr>
                <w:rFonts w:ascii="Times New Roman" w:hAnsi="Times New Roman" w:cs="Times New Roman"/>
                <w:sz w:val="22"/>
                <w:lang w:val="en-GB"/>
              </w:rPr>
              <w:t>)</w:t>
            </w:r>
          </w:p>
        </w:tc>
        <w:tc>
          <w:tcPr>
            <w:tcW w:w="1843" w:type="dxa"/>
            <w:vMerge w:val="restart"/>
            <w:vAlign w:val="center"/>
          </w:tcPr>
          <w:p w:rsidR="005229B3" w:rsidRDefault="005229B3" w:rsidP="0038613E">
            <w:pPr>
              <w:jc w:val="center"/>
              <w:rPr>
                <w:rFonts w:ascii="Times New Roman" w:hAnsi="Times New Roman" w:cs="Times New Roman"/>
                <w:sz w:val="22"/>
                <w:lang w:val="en-GB"/>
              </w:rPr>
            </w:pPr>
            <w:r w:rsidRPr="005C74DF">
              <w:rPr>
                <w:rFonts w:ascii="Times New Roman" w:hAnsi="Times New Roman" w:cs="Times New Roman"/>
                <w:sz w:val="22"/>
                <w:lang w:val="en-GB"/>
              </w:rPr>
              <w:t>2.4%</w:t>
            </w:r>
          </w:p>
          <w:p w:rsidR="005229B3" w:rsidRPr="005C74DF" w:rsidRDefault="008202FA" w:rsidP="0038613E">
            <w:pPr>
              <w:jc w:val="center"/>
              <w:rPr>
                <w:rFonts w:ascii="Times New Roman" w:hAnsi="Times New Roman" w:cs="Times New Roman"/>
                <w:sz w:val="22"/>
                <w:lang w:val="en-GB"/>
              </w:rPr>
            </w:pPr>
            <w:r>
              <w:rPr>
                <w:rFonts w:ascii="Times New Roman" w:hAnsi="Times New Roman" w:cs="Times New Roman"/>
                <w:sz w:val="22"/>
                <w:lang w:val="en-GB"/>
              </w:rPr>
              <w:t>Hoidon kustannukset</w:t>
            </w:r>
          </w:p>
        </w:tc>
      </w:tr>
      <w:tr w:rsidR="005229B3" w:rsidRPr="005C74DF" w:rsidTr="00A27423">
        <w:tc>
          <w:tcPr>
            <w:tcW w:w="1555" w:type="dxa"/>
          </w:tcPr>
          <w:p w:rsidR="005229B3" w:rsidRPr="005C74DF" w:rsidRDefault="005229B3">
            <w:pPr>
              <w:rPr>
                <w:rFonts w:ascii="Times New Roman" w:hAnsi="Times New Roman" w:cs="Times New Roman"/>
                <w:sz w:val="22"/>
                <w:lang w:val="en-GB"/>
              </w:rPr>
            </w:pPr>
            <w:r w:rsidRPr="005C74DF">
              <w:rPr>
                <w:rFonts w:ascii="Times New Roman" w:hAnsi="Times New Roman" w:cs="Times New Roman"/>
                <w:sz w:val="22"/>
                <w:lang w:val="en-GB"/>
              </w:rPr>
              <w:t xml:space="preserve">Tangka </w:t>
            </w:r>
            <w:r w:rsidR="008202FA">
              <w:rPr>
                <w:rFonts w:ascii="Times New Roman" w:hAnsi="Times New Roman" w:cs="Times New Roman"/>
                <w:sz w:val="22"/>
                <w:lang w:val="en-GB"/>
              </w:rPr>
              <w:t>ym</w:t>
            </w:r>
            <w:r w:rsidRPr="005C74DF">
              <w:rPr>
                <w:rFonts w:ascii="Times New Roman" w:hAnsi="Times New Roman" w:cs="Times New Roman"/>
                <w:sz w:val="22"/>
                <w:lang w:val="en-GB"/>
              </w:rPr>
              <w:t>. 2010</w:t>
            </w:r>
          </w:p>
        </w:tc>
        <w:tc>
          <w:tcPr>
            <w:tcW w:w="992" w:type="dxa"/>
          </w:tcPr>
          <w:p w:rsidR="005229B3" w:rsidRPr="005C74DF" w:rsidRDefault="005229B3" w:rsidP="0038613E">
            <w:pPr>
              <w:rPr>
                <w:rFonts w:ascii="Times New Roman" w:hAnsi="Times New Roman" w:cs="Times New Roman"/>
                <w:sz w:val="22"/>
                <w:lang w:val="en-GB"/>
              </w:rPr>
            </w:pPr>
            <w:r w:rsidRPr="005C74DF">
              <w:rPr>
                <w:rFonts w:ascii="Times New Roman" w:hAnsi="Times New Roman" w:cs="Times New Roman"/>
                <w:sz w:val="22"/>
                <w:lang w:val="en-GB"/>
              </w:rPr>
              <w:t>USA</w:t>
            </w:r>
          </w:p>
        </w:tc>
        <w:tc>
          <w:tcPr>
            <w:tcW w:w="1417" w:type="dxa"/>
          </w:tcPr>
          <w:p w:rsidR="005229B3" w:rsidRPr="005C74DF" w:rsidRDefault="008202FA" w:rsidP="005229B3">
            <w:pPr>
              <w:pStyle w:val="ListParagraph"/>
              <w:numPr>
                <w:ilvl w:val="0"/>
                <w:numId w:val="21"/>
              </w:numPr>
              <w:ind w:left="174" w:hanging="219"/>
              <w:jc w:val="left"/>
              <w:rPr>
                <w:rFonts w:ascii="Times New Roman" w:hAnsi="Times New Roman" w:cs="Times New Roman"/>
                <w:lang w:val="en-GB"/>
              </w:rPr>
            </w:pPr>
            <w:r>
              <w:rPr>
                <w:rFonts w:ascii="Times New Roman" w:hAnsi="Times New Roman" w:cs="Times New Roman"/>
                <w:lang w:val="en-GB"/>
              </w:rPr>
              <w:t>Hoidon kustannukset</w:t>
            </w:r>
          </w:p>
        </w:tc>
        <w:tc>
          <w:tcPr>
            <w:tcW w:w="1418" w:type="dxa"/>
          </w:tcPr>
          <w:p w:rsidR="005229B3" w:rsidRPr="005C74DF" w:rsidRDefault="005229B3" w:rsidP="0038613E">
            <w:pPr>
              <w:rPr>
                <w:rFonts w:ascii="Times New Roman" w:hAnsi="Times New Roman" w:cs="Times New Roman"/>
                <w:sz w:val="22"/>
                <w:lang w:val="en-GB"/>
              </w:rPr>
            </w:pPr>
            <w:r w:rsidRPr="005C74DF">
              <w:rPr>
                <w:rFonts w:ascii="Times New Roman" w:hAnsi="Times New Roman" w:cs="Times New Roman"/>
                <w:sz w:val="22"/>
                <w:lang w:val="en-GB"/>
              </w:rPr>
              <w:t xml:space="preserve">1987-2003 </w:t>
            </w:r>
            <w:r w:rsidR="008202FA">
              <w:rPr>
                <w:rFonts w:ascii="Times New Roman" w:hAnsi="Times New Roman" w:cs="Times New Roman"/>
                <w:sz w:val="22"/>
                <w:lang w:val="en-GB"/>
              </w:rPr>
              <w:t>(havainto)</w:t>
            </w:r>
          </w:p>
        </w:tc>
        <w:tc>
          <w:tcPr>
            <w:tcW w:w="2126" w:type="dxa"/>
          </w:tcPr>
          <w:p w:rsidR="005229B3" w:rsidRPr="005C74DF" w:rsidRDefault="005229B3" w:rsidP="0038613E">
            <w:pPr>
              <w:rPr>
                <w:rFonts w:ascii="Times New Roman" w:hAnsi="Times New Roman" w:cs="Times New Roman"/>
                <w:sz w:val="22"/>
                <w:lang w:val="en-GB"/>
              </w:rPr>
            </w:pPr>
            <w:r w:rsidRPr="005C74DF">
              <w:rPr>
                <w:rFonts w:ascii="Times New Roman" w:hAnsi="Times New Roman" w:cs="Times New Roman"/>
                <w:sz w:val="22"/>
                <w:lang w:val="en-GB"/>
              </w:rPr>
              <w:t>4.2%</w:t>
            </w:r>
          </w:p>
        </w:tc>
        <w:tc>
          <w:tcPr>
            <w:tcW w:w="1843" w:type="dxa"/>
            <w:vMerge/>
          </w:tcPr>
          <w:p w:rsidR="005229B3" w:rsidRPr="005C74DF" w:rsidRDefault="005229B3" w:rsidP="0038613E">
            <w:pPr>
              <w:rPr>
                <w:rFonts w:ascii="Times New Roman" w:hAnsi="Times New Roman" w:cs="Times New Roman"/>
                <w:sz w:val="22"/>
                <w:lang w:val="en-GB"/>
              </w:rPr>
            </w:pPr>
          </w:p>
        </w:tc>
      </w:tr>
      <w:tr w:rsidR="008202FA" w:rsidRPr="005C74DF" w:rsidTr="00A27423">
        <w:tc>
          <w:tcPr>
            <w:tcW w:w="1555" w:type="dxa"/>
          </w:tcPr>
          <w:p w:rsidR="008202FA" w:rsidRPr="005C74DF" w:rsidRDefault="008202FA" w:rsidP="008202FA">
            <w:pPr>
              <w:rPr>
                <w:rFonts w:ascii="Times New Roman" w:hAnsi="Times New Roman" w:cs="Times New Roman"/>
                <w:sz w:val="22"/>
                <w:lang w:val="en-GB"/>
              </w:rPr>
            </w:pPr>
            <w:r w:rsidRPr="005C74DF">
              <w:rPr>
                <w:rFonts w:ascii="Times New Roman" w:hAnsi="Times New Roman" w:cs="Times New Roman"/>
                <w:sz w:val="22"/>
                <w:lang w:val="en-GB"/>
              </w:rPr>
              <w:t>NHS England 2013</w:t>
            </w:r>
          </w:p>
        </w:tc>
        <w:tc>
          <w:tcPr>
            <w:tcW w:w="992" w:type="dxa"/>
          </w:tcPr>
          <w:p w:rsidR="008202FA" w:rsidRPr="005C74DF" w:rsidRDefault="008202FA" w:rsidP="008202FA">
            <w:pPr>
              <w:rPr>
                <w:rFonts w:ascii="Times New Roman" w:hAnsi="Times New Roman" w:cs="Times New Roman"/>
                <w:sz w:val="22"/>
                <w:lang w:val="en-GB"/>
              </w:rPr>
            </w:pPr>
            <w:r>
              <w:rPr>
                <w:rFonts w:ascii="Times New Roman" w:hAnsi="Times New Roman" w:cs="Times New Roman"/>
                <w:sz w:val="22"/>
                <w:lang w:val="en-GB"/>
              </w:rPr>
              <w:t>Englanti</w:t>
            </w:r>
          </w:p>
        </w:tc>
        <w:tc>
          <w:tcPr>
            <w:tcW w:w="1417" w:type="dxa"/>
          </w:tcPr>
          <w:p w:rsidR="008202FA" w:rsidRPr="005C74DF" w:rsidRDefault="008202FA" w:rsidP="008202FA">
            <w:pPr>
              <w:pStyle w:val="ListParagraph"/>
              <w:numPr>
                <w:ilvl w:val="0"/>
                <w:numId w:val="21"/>
              </w:numPr>
              <w:ind w:left="174" w:hanging="219"/>
              <w:jc w:val="left"/>
              <w:rPr>
                <w:rFonts w:ascii="Times New Roman" w:hAnsi="Times New Roman" w:cs="Times New Roman"/>
                <w:lang w:val="en-GB"/>
              </w:rPr>
            </w:pPr>
            <w:r w:rsidRPr="00C657CB">
              <w:rPr>
                <w:rFonts w:ascii="Times New Roman" w:hAnsi="Times New Roman" w:cs="Times New Roman"/>
                <w:lang w:val="en-GB"/>
              </w:rPr>
              <w:t>Hoidon kustannukset</w:t>
            </w:r>
          </w:p>
        </w:tc>
        <w:tc>
          <w:tcPr>
            <w:tcW w:w="1418" w:type="dxa"/>
          </w:tcPr>
          <w:p w:rsidR="008202FA" w:rsidRPr="005C74DF" w:rsidRDefault="008202FA">
            <w:pPr>
              <w:rPr>
                <w:rFonts w:ascii="Times New Roman" w:hAnsi="Times New Roman" w:cs="Times New Roman"/>
                <w:sz w:val="22"/>
                <w:lang w:val="en-GB"/>
              </w:rPr>
            </w:pPr>
            <w:r w:rsidRPr="005C74DF">
              <w:rPr>
                <w:rFonts w:ascii="Times New Roman" w:hAnsi="Times New Roman" w:cs="Times New Roman"/>
                <w:sz w:val="22"/>
                <w:lang w:val="en-GB"/>
              </w:rPr>
              <w:t>2004-2013 (</w:t>
            </w:r>
            <w:r>
              <w:rPr>
                <w:rFonts w:ascii="Times New Roman" w:hAnsi="Times New Roman" w:cs="Times New Roman"/>
                <w:sz w:val="22"/>
                <w:lang w:val="en-GB"/>
              </w:rPr>
              <w:t>havainto</w:t>
            </w:r>
            <w:r w:rsidRPr="005C74DF">
              <w:rPr>
                <w:rFonts w:ascii="Times New Roman" w:hAnsi="Times New Roman" w:cs="Times New Roman"/>
                <w:sz w:val="22"/>
                <w:lang w:val="en-GB"/>
              </w:rPr>
              <w:t>)</w:t>
            </w:r>
          </w:p>
        </w:tc>
        <w:tc>
          <w:tcPr>
            <w:tcW w:w="2126" w:type="dxa"/>
          </w:tcPr>
          <w:p w:rsidR="008202FA" w:rsidRPr="005C74DF" w:rsidRDefault="008202FA" w:rsidP="008202FA">
            <w:pPr>
              <w:rPr>
                <w:rFonts w:ascii="Times New Roman" w:hAnsi="Times New Roman" w:cs="Times New Roman"/>
                <w:sz w:val="22"/>
                <w:lang w:val="en-GB"/>
              </w:rPr>
            </w:pPr>
            <w:r w:rsidRPr="005C74DF">
              <w:rPr>
                <w:rFonts w:ascii="Times New Roman" w:hAnsi="Times New Roman" w:cs="Times New Roman"/>
                <w:sz w:val="22"/>
                <w:lang w:val="en-GB"/>
              </w:rPr>
              <w:t>3.6%</w:t>
            </w:r>
          </w:p>
        </w:tc>
        <w:tc>
          <w:tcPr>
            <w:tcW w:w="1843" w:type="dxa"/>
            <w:vMerge/>
          </w:tcPr>
          <w:p w:rsidR="008202FA" w:rsidRPr="005C74DF" w:rsidRDefault="008202FA" w:rsidP="008202FA">
            <w:pPr>
              <w:rPr>
                <w:rFonts w:ascii="Times New Roman" w:hAnsi="Times New Roman" w:cs="Times New Roman"/>
                <w:sz w:val="22"/>
                <w:lang w:val="en-GB"/>
              </w:rPr>
            </w:pPr>
          </w:p>
        </w:tc>
      </w:tr>
      <w:tr w:rsidR="008202FA" w:rsidRPr="005C74DF" w:rsidTr="00A27423">
        <w:tc>
          <w:tcPr>
            <w:tcW w:w="1555" w:type="dxa"/>
          </w:tcPr>
          <w:p w:rsidR="008202FA" w:rsidRPr="005C74DF" w:rsidRDefault="008202FA" w:rsidP="008202FA">
            <w:pPr>
              <w:rPr>
                <w:rFonts w:ascii="Times New Roman" w:hAnsi="Times New Roman" w:cs="Times New Roman"/>
                <w:sz w:val="22"/>
                <w:lang w:val="en-GB"/>
              </w:rPr>
            </w:pPr>
            <w:r w:rsidRPr="005C74DF">
              <w:rPr>
                <w:rFonts w:ascii="Times New Roman" w:hAnsi="Times New Roman" w:cs="Times New Roman"/>
                <w:sz w:val="22"/>
                <w:lang w:val="en-GB"/>
              </w:rPr>
              <w:t>Ministerie van Volksgezondheid, Welzijn en Sport 2011</w:t>
            </w:r>
          </w:p>
        </w:tc>
        <w:tc>
          <w:tcPr>
            <w:tcW w:w="992" w:type="dxa"/>
          </w:tcPr>
          <w:p w:rsidR="008202FA" w:rsidRPr="005C74DF" w:rsidRDefault="008202FA" w:rsidP="008202FA">
            <w:pPr>
              <w:rPr>
                <w:rFonts w:ascii="Times New Roman" w:hAnsi="Times New Roman" w:cs="Times New Roman"/>
                <w:sz w:val="22"/>
                <w:lang w:val="en-GB"/>
              </w:rPr>
            </w:pPr>
            <w:r>
              <w:rPr>
                <w:rFonts w:ascii="Times New Roman" w:hAnsi="Times New Roman" w:cs="Times New Roman"/>
                <w:sz w:val="22"/>
                <w:lang w:val="en-GB"/>
              </w:rPr>
              <w:t>Alankomaat</w:t>
            </w:r>
          </w:p>
        </w:tc>
        <w:tc>
          <w:tcPr>
            <w:tcW w:w="1417" w:type="dxa"/>
          </w:tcPr>
          <w:p w:rsidR="008202FA" w:rsidRPr="005C74DF" w:rsidRDefault="008202FA" w:rsidP="008202FA">
            <w:pPr>
              <w:pStyle w:val="ListParagraph"/>
              <w:numPr>
                <w:ilvl w:val="0"/>
                <w:numId w:val="21"/>
              </w:numPr>
              <w:ind w:left="174" w:hanging="219"/>
              <w:jc w:val="left"/>
              <w:rPr>
                <w:rFonts w:ascii="Times New Roman" w:hAnsi="Times New Roman" w:cs="Times New Roman"/>
                <w:lang w:val="en-GB"/>
              </w:rPr>
            </w:pPr>
            <w:r w:rsidRPr="00C657CB">
              <w:rPr>
                <w:rFonts w:ascii="Times New Roman" w:hAnsi="Times New Roman" w:cs="Times New Roman"/>
                <w:lang w:val="en-GB"/>
              </w:rPr>
              <w:t>Hoidon kustannukset</w:t>
            </w:r>
          </w:p>
        </w:tc>
        <w:tc>
          <w:tcPr>
            <w:tcW w:w="1418" w:type="dxa"/>
          </w:tcPr>
          <w:p w:rsidR="008202FA" w:rsidRPr="005C74DF" w:rsidRDefault="008202FA">
            <w:pPr>
              <w:rPr>
                <w:rFonts w:ascii="Times New Roman" w:hAnsi="Times New Roman" w:cs="Times New Roman"/>
                <w:sz w:val="22"/>
                <w:lang w:val="en-GB"/>
              </w:rPr>
            </w:pPr>
            <w:r w:rsidRPr="005C74DF">
              <w:rPr>
                <w:rFonts w:ascii="Times New Roman" w:hAnsi="Times New Roman" w:cs="Times New Roman"/>
                <w:sz w:val="22"/>
                <w:lang w:val="en-GB"/>
              </w:rPr>
              <w:t>2003-2011 (</w:t>
            </w:r>
            <w:r>
              <w:rPr>
                <w:rFonts w:ascii="Times New Roman" w:hAnsi="Times New Roman" w:cs="Times New Roman"/>
                <w:sz w:val="22"/>
                <w:lang w:val="en-GB"/>
              </w:rPr>
              <w:t>havainto</w:t>
            </w:r>
            <w:r w:rsidRPr="005C74DF">
              <w:rPr>
                <w:rFonts w:ascii="Times New Roman" w:hAnsi="Times New Roman" w:cs="Times New Roman"/>
                <w:sz w:val="22"/>
                <w:lang w:val="en-GB"/>
              </w:rPr>
              <w:t>)</w:t>
            </w:r>
          </w:p>
        </w:tc>
        <w:tc>
          <w:tcPr>
            <w:tcW w:w="2126" w:type="dxa"/>
          </w:tcPr>
          <w:p w:rsidR="008202FA" w:rsidRPr="005C74DF" w:rsidRDefault="008202FA" w:rsidP="008202FA">
            <w:pPr>
              <w:rPr>
                <w:rFonts w:ascii="Times New Roman" w:hAnsi="Times New Roman" w:cs="Times New Roman"/>
                <w:sz w:val="22"/>
                <w:lang w:val="en-GB"/>
              </w:rPr>
            </w:pPr>
            <w:r w:rsidRPr="005C74DF">
              <w:rPr>
                <w:rFonts w:ascii="Times New Roman" w:hAnsi="Times New Roman" w:cs="Times New Roman"/>
                <w:sz w:val="22"/>
                <w:lang w:val="en-GB"/>
              </w:rPr>
              <w:t>4.0%</w:t>
            </w:r>
          </w:p>
        </w:tc>
        <w:tc>
          <w:tcPr>
            <w:tcW w:w="1843" w:type="dxa"/>
            <w:vMerge/>
          </w:tcPr>
          <w:p w:rsidR="008202FA" w:rsidRPr="005C74DF" w:rsidRDefault="008202FA" w:rsidP="008202FA">
            <w:pPr>
              <w:rPr>
                <w:rFonts w:ascii="Times New Roman" w:hAnsi="Times New Roman" w:cs="Times New Roman"/>
                <w:sz w:val="22"/>
                <w:lang w:val="en-GB"/>
              </w:rPr>
            </w:pPr>
          </w:p>
        </w:tc>
      </w:tr>
      <w:tr w:rsidR="005229B3" w:rsidRPr="005C74DF" w:rsidTr="00A27423">
        <w:tc>
          <w:tcPr>
            <w:tcW w:w="1555" w:type="dxa"/>
          </w:tcPr>
          <w:p w:rsidR="005229B3" w:rsidRPr="005C74DF" w:rsidRDefault="005229B3">
            <w:pPr>
              <w:rPr>
                <w:rFonts w:ascii="Times New Roman" w:hAnsi="Times New Roman" w:cs="Times New Roman"/>
                <w:sz w:val="22"/>
                <w:lang w:val="en-GB"/>
              </w:rPr>
            </w:pPr>
            <w:r w:rsidRPr="005C74DF">
              <w:rPr>
                <w:rFonts w:ascii="Times New Roman" w:hAnsi="Times New Roman" w:cs="Times New Roman"/>
                <w:sz w:val="22"/>
                <w:lang w:val="en-GB"/>
              </w:rPr>
              <w:t xml:space="preserve">Torkki </w:t>
            </w:r>
            <w:r w:rsidR="008202FA">
              <w:rPr>
                <w:rFonts w:ascii="Times New Roman" w:hAnsi="Times New Roman" w:cs="Times New Roman"/>
                <w:sz w:val="22"/>
                <w:lang w:val="en-GB"/>
              </w:rPr>
              <w:t>ym</w:t>
            </w:r>
            <w:r w:rsidRPr="005C74DF">
              <w:rPr>
                <w:rFonts w:ascii="Times New Roman" w:hAnsi="Times New Roman" w:cs="Times New Roman"/>
                <w:sz w:val="22"/>
                <w:lang w:val="en-GB"/>
              </w:rPr>
              <w:t>. 201</w:t>
            </w:r>
            <w:r w:rsidR="008202FA">
              <w:rPr>
                <w:rFonts w:ascii="Times New Roman" w:hAnsi="Times New Roman" w:cs="Times New Roman"/>
                <w:sz w:val="22"/>
                <w:lang w:val="en-GB"/>
              </w:rPr>
              <w:t>5</w:t>
            </w:r>
          </w:p>
        </w:tc>
        <w:tc>
          <w:tcPr>
            <w:tcW w:w="992" w:type="dxa"/>
          </w:tcPr>
          <w:p w:rsidR="005229B3" w:rsidRPr="005C74DF" w:rsidRDefault="008202FA" w:rsidP="0038613E">
            <w:pPr>
              <w:rPr>
                <w:rFonts w:ascii="Times New Roman" w:hAnsi="Times New Roman" w:cs="Times New Roman"/>
                <w:sz w:val="22"/>
                <w:lang w:val="en-GB"/>
              </w:rPr>
            </w:pPr>
            <w:r>
              <w:rPr>
                <w:rFonts w:ascii="Times New Roman" w:hAnsi="Times New Roman" w:cs="Times New Roman"/>
                <w:sz w:val="22"/>
                <w:lang w:val="en-GB"/>
              </w:rPr>
              <w:t>Suomi</w:t>
            </w:r>
          </w:p>
        </w:tc>
        <w:tc>
          <w:tcPr>
            <w:tcW w:w="1417" w:type="dxa"/>
          </w:tcPr>
          <w:p w:rsidR="005229B3" w:rsidRPr="005C74DF" w:rsidRDefault="008202FA" w:rsidP="005229B3">
            <w:pPr>
              <w:pStyle w:val="ListParagraph"/>
              <w:numPr>
                <w:ilvl w:val="0"/>
                <w:numId w:val="21"/>
              </w:numPr>
              <w:ind w:left="174" w:hanging="219"/>
              <w:jc w:val="left"/>
              <w:rPr>
                <w:rFonts w:ascii="Times New Roman" w:hAnsi="Times New Roman" w:cs="Times New Roman"/>
                <w:lang w:val="en-GB"/>
              </w:rPr>
            </w:pPr>
            <w:r>
              <w:rPr>
                <w:rFonts w:ascii="Times New Roman" w:hAnsi="Times New Roman" w:cs="Times New Roman"/>
                <w:lang w:val="en-GB"/>
              </w:rPr>
              <w:t>Hoidon kustannukset erikoissairaanhoidossa</w:t>
            </w:r>
          </w:p>
        </w:tc>
        <w:tc>
          <w:tcPr>
            <w:tcW w:w="1418" w:type="dxa"/>
          </w:tcPr>
          <w:p w:rsidR="005229B3" w:rsidRPr="005C74DF" w:rsidRDefault="005229B3">
            <w:pPr>
              <w:rPr>
                <w:rFonts w:ascii="Times New Roman" w:hAnsi="Times New Roman" w:cs="Times New Roman"/>
                <w:sz w:val="22"/>
                <w:lang w:val="en-GB"/>
              </w:rPr>
            </w:pPr>
            <w:r w:rsidRPr="005C74DF">
              <w:rPr>
                <w:rFonts w:ascii="Times New Roman" w:hAnsi="Times New Roman" w:cs="Times New Roman"/>
                <w:sz w:val="22"/>
                <w:lang w:val="en-GB"/>
              </w:rPr>
              <w:t>2008-2013 (</w:t>
            </w:r>
            <w:r w:rsidR="008202FA">
              <w:rPr>
                <w:rFonts w:ascii="Times New Roman" w:hAnsi="Times New Roman" w:cs="Times New Roman"/>
                <w:sz w:val="22"/>
                <w:lang w:val="en-GB"/>
              </w:rPr>
              <w:t>havainto</w:t>
            </w:r>
            <w:r w:rsidRPr="005C74DF">
              <w:rPr>
                <w:rFonts w:ascii="Times New Roman" w:hAnsi="Times New Roman" w:cs="Times New Roman"/>
                <w:sz w:val="22"/>
                <w:lang w:val="en-GB"/>
              </w:rPr>
              <w:t>)</w:t>
            </w:r>
          </w:p>
        </w:tc>
        <w:tc>
          <w:tcPr>
            <w:tcW w:w="2126" w:type="dxa"/>
          </w:tcPr>
          <w:p w:rsidR="005229B3" w:rsidRPr="005C74DF" w:rsidRDefault="005229B3" w:rsidP="0038613E">
            <w:pPr>
              <w:rPr>
                <w:rFonts w:ascii="Times New Roman" w:hAnsi="Times New Roman" w:cs="Times New Roman"/>
                <w:sz w:val="22"/>
                <w:lang w:val="en-GB"/>
              </w:rPr>
            </w:pPr>
            <w:r w:rsidRPr="005C74DF">
              <w:rPr>
                <w:rFonts w:ascii="Times New Roman" w:hAnsi="Times New Roman" w:cs="Times New Roman"/>
                <w:sz w:val="22"/>
                <w:lang w:val="en-GB"/>
              </w:rPr>
              <w:t>3.2%</w:t>
            </w:r>
          </w:p>
        </w:tc>
        <w:tc>
          <w:tcPr>
            <w:tcW w:w="1843" w:type="dxa"/>
            <w:vMerge/>
          </w:tcPr>
          <w:p w:rsidR="005229B3" w:rsidRPr="005C74DF" w:rsidRDefault="005229B3" w:rsidP="0038613E">
            <w:pPr>
              <w:rPr>
                <w:rFonts w:ascii="Times New Roman" w:hAnsi="Times New Roman" w:cs="Times New Roman"/>
                <w:sz w:val="22"/>
                <w:lang w:val="en-GB"/>
              </w:rPr>
            </w:pPr>
          </w:p>
        </w:tc>
      </w:tr>
      <w:tr w:rsidR="005229B3" w:rsidRPr="005C74DF" w:rsidTr="00A27423">
        <w:tc>
          <w:tcPr>
            <w:tcW w:w="1555" w:type="dxa"/>
          </w:tcPr>
          <w:p w:rsidR="005229B3" w:rsidRPr="005C74DF" w:rsidRDefault="005229B3" w:rsidP="0038613E">
            <w:pPr>
              <w:rPr>
                <w:rFonts w:ascii="Times New Roman" w:hAnsi="Times New Roman" w:cs="Times New Roman"/>
                <w:sz w:val="22"/>
                <w:lang w:val="en-GB"/>
              </w:rPr>
            </w:pPr>
            <w:r w:rsidRPr="005C74DF">
              <w:rPr>
                <w:rFonts w:ascii="Times New Roman" w:hAnsi="Times New Roman" w:cs="Times New Roman"/>
                <w:sz w:val="22"/>
                <w:lang w:val="en-GB"/>
              </w:rPr>
              <w:t xml:space="preserve">Institutet för Hälso- och </w:t>
            </w:r>
            <w:r w:rsidRPr="005C74DF">
              <w:rPr>
                <w:rFonts w:ascii="Times New Roman" w:hAnsi="Times New Roman" w:cs="Times New Roman"/>
                <w:sz w:val="22"/>
                <w:lang w:val="en-GB"/>
              </w:rPr>
              <w:lastRenderedPageBreak/>
              <w:t>Sjukvårdsekonomi 2016</w:t>
            </w:r>
          </w:p>
        </w:tc>
        <w:tc>
          <w:tcPr>
            <w:tcW w:w="992" w:type="dxa"/>
          </w:tcPr>
          <w:p w:rsidR="005229B3" w:rsidRPr="005C74DF" w:rsidRDefault="008202FA" w:rsidP="0038613E">
            <w:pPr>
              <w:rPr>
                <w:rFonts w:ascii="Times New Roman" w:hAnsi="Times New Roman" w:cs="Times New Roman"/>
                <w:sz w:val="22"/>
                <w:lang w:val="en-GB"/>
              </w:rPr>
            </w:pPr>
            <w:r>
              <w:rPr>
                <w:rFonts w:ascii="Times New Roman" w:hAnsi="Times New Roman" w:cs="Times New Roman"/>
                <w:sz w:val="22"/>
                <w:lang w:val="en-GB"/>
              </w:rPr>
              <w:lastRenderedPageBreak/>
              <w:t>Ruotsi</w:t>
            </w:r>
          </w:p>
        </w:tc>
        <w:tc>
          <w:tcPr>
            <w:tcW w:w="1417" w:type="dxa"/>
          </w:tcPr>
          <w:p w:rsidR="005229B3" w:rsidRPr="005C74DF" w:rsidRDefault="008202FA" w:rsidP="005229B3">
            <w:pPr>
              <w:pStyle w:val="ListParagraph"/>
              <w:numPr>
                <w:ilvl w:val="0"/>
                <w:numId w:val="21"/>
              </w:numPr>
              <w:ind w:left="174" w:hanging="219"/>
              <w:jc w:val="left"/>
              <w:rPr>
                <w:rFonts w:ascii="Times New Roman" w:hAnsi="Times New Roman" w:cs="Times New Roman"/>
                <w:lang w:val="en-GB"/>
              </w:rPr>
            </w:pPr>
            <w:r>
              <w:rPr>
                <w:rFonts w:ascii="Times New Roman" w:hAnsi="Times New Roman" w:cs="Times New Roman"/>
                <w:lang w:val="en-GB"/>
              </w:rPr>
              <w:t>Hoidon kustannuk</w:t>
            </w:r>
            <w:r>
              <w:rPr>
                <w:rFonts w:ascii="Times New Roman" w:hAnsi="Times New Roman" w:cs="Times New Roman"/>
                <w:lang w:val="en-GB"/>
              </w:rPr>
              <w:lastRenderedPageBreak/>
              <w:t>set (ml. seulonta)</w:t>
            </w:r>
          </w:p>
          <w:p w:rsidR="005229B3" w:rsidRPr="00A27423" w:rsidRDefault="008202FA" w:rsidP="005229B3">
            <w:pPr>
              <w:pStyle w:val="ListParagraph"/>
              <w:numPr>
                <w:ilvl w:val="0"/>
                <w:numId w:val="21"/>
              </w:numPr>
              <w:ind w:left="174" w:hanging="219"/>
              <w:jc w:val="left"/>
              <w:rPr>
                <w:rFonts w:ascii="Times New Roman" w:hAnsi="Times New Roman" w:cs="Times New Roman"/>
              </w:rPr>
            </w:pPr>
            <w:r w:rsidRPr="00A27423">
              <w:rPr>
                <w:rFonts w:ascii="Times New Roman" w:hAnsi="Times New Roman" w:cs="Times New Roman"/>
              </w:rPr>
              <w:t>Menetetty tuottavuus (ennenaikaiset kuolemat, sairauspoissaolot ja alentunut työkyky)</w:t>
            </w:r>
          </w:p>
          <w:p w:rsidR="005229B3" w:rsidRPr="005C74DF" w:rsidRDefault="00B247F5" w:rsidP="005229B3">
            <w:pPr>
              <w:pStyle w:val="ListParagraph"/>
              <w:numPr>
                <w:ilvl w:val="0"/>
                <w:numId w:val="21"/>
              </w:numPr>
              <w:ind w:left="174" w:hanging="219"/>
              <w:jc w:val="left"/>
              <w:rPr>
                <w:rFonts w:ascii="Times New Roman" w:hAnsi="Times New Roman" w:cs="Times New Roman"/>
                <w:lang w:val="en-GB"/>
              </w:rPr>
            </w:pPr>
            <w:r>
              <w:rPr>
                <w:rFonts w:ascii="Times New Roman" w:hAnsi="Times New Roman" w:cs="Times New Roman"/>
                <w:lang w:val="en-GB"/>
              </w:rPr>
              <w:t>Omaisten</w:t>
            </w:r>
            <w:r w:rsidR="008202FA">
              <w:rPr>
                <w:rFonts w:ascii="Times New Roman" w:hAnsi="Times New Roman" w:cs="Times New Roman"/>
                <w:lang w:val="en-GB"/>
              </w:rPr>
              <w:t xml:space="preserve"> tekemä </w:t>
            </w:r>
            <w:r>
              <w:rPr>
                <w:rFonts w:ascii="Times New Roman" w:hAnsi="Times New Roman" w:cs="Times New Roman"/>
                <w:lang w:val="en-GB"/>
              </w:rPr>
              <w:t xml:space="preserve">epäsuora </w:t>
            </w:r>
            <w:r w:rsidR="008202FA">
              <w:rPr>
                <w:rFonts w:ascii="Times New Roman" w:hAnsi="Times New Roman" w:cs="Times New Roman"/>
                <w:lang w:val="en-GB"/>
              </w:rPr>
              <w:t>hoitotyö</w:t>
            </w:r>
          </w:p>
        </w:tc>
        <w:tc>
          <w:tcPr>
            <w:tcW w:w="1418" w:type="dxa"/>
          </w:tcPr>
          <w:p w:rsidR="005229B3" w:rsidRPr="005C74DF" w:rsidRDefault="005229B3">
            <w:pPr>
              <w:rPr>
                <w:rFonts w:ascii="Times New Roman" w:hAnsi="Times New Roman" w:cs="Times New Roman"/>
                <w:sz w:val="22"/>
                <w:lang w:val="en-GB"/>
              </w:rPr>
            </w:pPr>
            <w:r w:rsidRPr="005C74DF">
              <w:rPr>
                <w:rFonts w:ascii="Times New Roman" w:hAnsi="Times New Roman" w:cs="Times New Roman"/>
                <w:sz w:val="22"/>
                <w:lang w:val="en-GB"/>
              </w:rPr>
              <w:lastRenderedPageBreak/>
              <w:t>2013 (</w:t>
            </w:r>
            <w:r w:rsidR="008202FA">
              <w:rPr>
                <w:rFonts w:ascii="Times New Roman" w:hAnsi="Times New Roman" w:cs="Times New Roman"/>
                <w:sz w:val="22"/>
                <w:lang w:val="en-GB"/>
              </w:rPr>
              <w:t>havainto</w:t>
            </w:r>
            <w:r w:rsidRPr="005C74DF">
              <w:rPr>
                <w:rFonts w:ascii="Times New Roman" w:hAnsi="Times New Roman" w:cs="Times New Roman"/>
                <w:sz w:val="22"/>
                <w:lang w:val="en-GB"/>
              </w:rPr>
              <w:t xml:space="preserve">) – </w:t>
            </w:r>
            <w:r w:rsidRPr="005C74DF">
              <w:rPr>
                <w:rFonts w:ascii="Times New Roman" w:hAnsi="Times New Roman" w:cs="Times New Roman"/>
                <w:sz w:val="22"/>
                <w:lang w:val="en-GB"/>
              </w:rPr>
              <w:lastRenderedPageBreak/>
              <w:t>2020, 2030, 2040 (</w:t>
            </w:r>
            <w:r w:rsidR="008202FA">
              <w:rPr>
                <w:rFonts w:ascii="Times New Roman" w:hAnsi="Times New Roman" w:cs="Times New Roman"/>
                <w:sz w:val="22"/>
                <w:lang w:val="en-GB"/>
              </w:rPr>
              <w:t>ennuste</w:t>
            </w:r>
            <w:r w:rsidRPr="005C74DF">
              <w:rPr>
                <w:rFonts w:ascii="Times New Roman" w:hAnsi="Times New Roman" w:cs="Times New Roman"/>
                <w:sz w:val="22"/>
                <w:lang w:val="en-GB"/>
              </w:rPr>
              <w:t>)</w:t>
            </w:r>
          </w:p>
        </w:tc>
        <w:tc>
          <w:tcPr>
            <w:tcW w:w="2126" w:type="dxa"/>
          </w:tcPr>
          <w:p w:rsidR="005229B3" w:rsidRPr="005C74DF" w:rsidRDefault="005229B3" w:rsidP="0038613E">
            <w:pPr>
              <w:rPr>
                <w:rFonts w:ascii="Times New Roman" w:hAnsi="Times New Roman" w:cs="Times New Roman"/>
                <w:sz w:val="22"/>
                <w:lang w:val="en-GB"/>
              </w:rPr>
            </w:pPr>
            <w:r w:rsidRPr="005C74DF">
              <w:rPr>
                <w:rFonts w:ascii="Times New Roman" w:hAnsi="Times New Roman" w:cs="Times New Roman"/>
                <w:sz w:val="22"/>
                <w:lang w:val="en-GB"/>
              </w:rPr>
              <w:lastRenderedPageBreak/>
              <w:t>2013-2020: 3.0%</w:t>
            </w:r>
          </w:p>
          <w:p w:rsidR="005229B3" w:rsidRPr="005C74DF" w:rsidRDefault="005229B3" w:rsidP="0038613E">
            <w:pPr>
              <w:rPr>
                <w:rFonts w:ascii="Times New Roman" w:hAnsi="Times New Roman" w:cs="Times New Roman"/>
                <w:sz w:val="22"/>
                <w:lang w:val="en-GB"/>
              </w:rPr>
            </w:pPr>
            <w:r w:rsidRPr="005C74DF">
              <w:rPr>
                <w:rFonts w:ascii="Times New Roman" w:hAnsi="Times New Roman" w:cs="Times New Roman"/>
                <w:sz w:val="22"/>
                <w:lang w:val="en-GB"/>
              </w:rPr>
              <w:t>2013-2030: 2.7%</w:t>
            </w:r>
          </w:p>
          <w:p w:rsidR="005229B3" w:rsidRPr="005C74DF" w:rsidRDefault="005229B3" w:rsidP="0038613E">
            <w:pPr>
              <w:rPr>
                <w:rFonts w:ascii="Times New Roman" w:hAnsi="Times New Roman" w:cs="Times New Roman"/>
                <w:sz w:val="22"/>
                <w:lang w:val="en-GB"/>
              </w:rPr>
            </w:pPr>
            <w:r w:rsidRPr="005C74DF">
              <w:rPr>
                <w:rFonts w:ascii="Times New Roman" w:hAnsi="Times New Roman" w:cs="Times New Roman"/>
                <w:sz w:val="22"/>
                <w:lang w:val="en-GB"/>
              </w:rPr>
              <w:lastRenderedPageBreak/>
              <w:t>2013-2040: 2.4%</w:t>
            </w:r>
          </w:p>
        </w:tc>
        <w:tc>
          <w:tcPr>
            <w:tcW w:w="1843" w:type="dxa"/>
            <w:vMerge w:val="restart"/>
            <w:vAlign w:val="center"/>
          </w:tcPr>
          <w:p w:rsidR="005229B3" w:rsidRDefault="005229B3" w:rsidP="0038613E">
            <w:pPr>
              <w:jc w:val="center"/>
              <w:rPr>
                <w:rFonts w:ascii="Times New Roman" w:hAnsi="Times New Roman" w:cs="Times New Roman"/>
                <w:sz w:val="22"/>
                <w:lang w:val="en-GB"/>
              </w:rPr>
            </w:pPr>
            <w:r w:rsidRPr="005C74DF">
              <w:rPr>
                <w:rFonts w:ascii="Times New Roman" w:hAnsi="Times New Roman" w:cs="Times New Roman"/>
                <w:sz w:val="22"/>
                <w:lang w:val="en-GB"/>
              </w:rPr>
              <w:lastRenderedPageBreak/>
              <w:t>1.7%</w:t>
            </w:r>
          </w:p>
          <w:p w:rsidR="005229B3" w:rsidRPr="005C74DF" w:rsidRDefault="008202FA" w:rsidP="0038613E">
            <w:pPr>
              <w:jc w:val="center"/>
              <w:rPr>
                <w:rFonts w:ascii="Times New Roman" w:hAnsi="Times New Roman" w:cs="Times New Roman"/>
                <w:sz w:val="22"/>
                <w:lang w:val="en-GB"/>
              </w:rPr>
            </w:pPr>
            <w:r>
              <w:rPr>
                <w:rFonts w:ascii="Times New Roman" w:hAnsi="Times New Roman" w:cs="Times New Roman"/>
                <w:sz w:val="22"/>
                <w:lang w:val="en-GB"/>
              </w:rPr>
              <w:lastRenderedPageBreak/>
              <w:t>Kokonaiskustannukset</w:t>
            </w:r>
          </w:p>
        </w:tc>
      </w:tr>
      <w:tr w:rsidR="005229B3" w:rsidRPr="005C74DF" w:rsidTr="00A27423">
        <w:tc>
          <w:tcPr>
            <w:tcW w:w="1555" w:type="dxa"/>
          </w:tcPr>
          <w:p w:rsidR="005229B3" w:rsidRPr="005C74DF" w:rsidRDefault="005229B3">
            <w:pPr>
              <w:rPr>
                <w:rFonts w:ascii="Times New Roman" w:hAnsi="Times New Roman" w:cs="Times New Roman"/>
                <w:sz w:val="22"/>
                <w:lang w:val="en-GB"/>
              </w:rPr>
            </w:pPr>
            <w:r w:rsidRPr="005C74DF">
              <w:rPr>
                <w:rFonts w:ascii="Times New Roman" w:hAnsi="Times New Roman" w:cs="Times New Roman"/>
                <w:sz w:val="22"/>
                <w:lang w:val="en-GB"/>
              </w:rPr>
              <w:lastRenderedPageBreak/>
              <w:t xml:space="preserve">Mäklin </w:t>
            </w:r>
            <w:r w:rsidR="008202FA">
              <w:rPr>
                <w:rFonts w:ascii="Times New Roman" w:hAnsi="Times New Roman" w:cs="Times New Roman"/>
                <w:sz w:val="22"/>
                <w:lang w:val="en-GB"/>
              </w:rPr>
              <w:t>ja Rissanen</w:t>
            </w:r>
            <w:r w:rsidRPr="005C74DF">
              <w:rPr>
                <w:rFonts w:ascii="Times New Roman" w:hAnsi="Times New Roman" w:cs="Times New Roman"/>
                <w:sz w:val="22"/>
                <w:lang w:val="en-GB"/>
              </w:rPr>
              <w:t xml:space="preserve"> 2006</w:t>
            </w:r>
          </w:p>
        </w:tc>
        <w:tc>
          <w:tcPr>
            <w:tcW w:w="992" w:type="dxa"/>
          </w:tcPr>
          <w:p w:rsidR="005229B3" w:rsidRPr="005C74DF" w:rsidRDefault="008202FA" w:rsidP="0038613E">
            <w:pPr>
              <w:rPr>
                <w:rFonts w:ascii="Times New Roman" w:hAnsi="Times New Roman" w:cs="Times New Roman"/>
                <w:sz w:val="22"/>
                <w:lang w:val="en-GB"/>
              </w:rPr>
            </w:pPr>
            <w:r>
              <w:rPr>
                <w:rFonts w:ascii="Times New Roman" w:hAnsi="Times New Roman" w:cs="Times New Roman"/>
                <w:sz w:val="22"/>
                <w:lang w:val="en-GB"/>
              </w:rPr>
              <w:t>Suomi</w:t>
            </w:r>
          </w:p>
        </w:tc>
        <w:tc>
          <w:tcPr>
            <w:tcW w:w="1417" w:type="dxa"/>
          </w:tcPr>
          <w:p w:rsidR="008202FA" w:rsidRPr="005C74DF" w:rsidRDefault="008202FA" w:rsidP="008202FA">
            <w:pPr>
              <w:pStyle w:val="ListParagraph"/>
              <w:numPr>
                <w:ilvl w:val="0"/>
                <w:numId w:val="21"/>
              </w:numPr>
              <w:ind w:left="174" w:hanging="219"/>
              <w:jc w:val="left"/>
              <w:rPr>
                <w:rFonts w:ascii="Times New Roman" w:hAnsi="Times New Roman" w:cs="Times New Roman"/>
                <w:lang w:val="en-GB"/>
              </w:rPr>
            </w:pPr>
            <w:r>
              <w:rPr>
                <w:rFonts w:ascii="Times New Roman" w:hAnsi="Times New Roman" w:cs="Times New Roman"/>
                <w:lang w:val="en-GB"/>
              </w:rPr>
              <w:t>Hoidon kustannukset (ml. seulonta)</w:t>
            </w:r>
          </w:p>
          <w:p w:rsidR="005229B3" w:rsidRPr="00B83796" w:rsidRDefault="008202FA">
            <w:pPr>
              <w:pStyle w:val="ListParagraph"/>
              <w:numPr>
                <w:ilvl w:val="0"/>
                <w:numId w:val="21"/>
              </w:numPr>
              <w:ind w:left="174" w:hanging="219"/>
              <w:jc w:val="left"/>
              <w:rPr>
                <w:rFonts w:ascii="Times New Roman" w:hAnsi="Times New Roman" w:cs="Times New Roman"/>
              </w:rPr>
            </w:pPr>
            <w:r w:rsidRPr="00B83796">
              <w:rPr>
                <w:rFonts w:ascii="Times New Roman" w:hAnsi="Times New Roman" w:cs="Times New Roman"/>
              </w:rPr>
              <w:t>Menetetty tuottavuus (sairauspoissaolot ja työkyvyttömyyseläkkeet)</w:t>
            </w:r>
          </w:p>
        </w:tc>
        <w:tc>
          <w:tcPr>
            <w:tcW w:w="1418" w:type="dxa"/>
          </w:tcPr>
          <w:p w:rsidR="005229B3" w:rsidRPr="005C74DF" w:rsidRDefault="005229B3">
            <w:pPr>
              <w:rPr>
                <w:rFonts w:ascii="Times New Roman" w:hAnsi="Times New Roman" w:cs="Times New Roman"/>
                <w:sz w:val="22"/>
                <w:lang w:val="en-GB"/>
              </w:rPr>
            </w:pPr>
            <w:r w:rsidRPr="005C74DF">
              <w:rPr>
                <w:rFonts w:ascii="Times New Roman" w:hAnsi="Times New Roman" w:cs="Times New Roman"/>
                <w:sz w:val="22"/>
                <w:lang w:val="en-GB"/>
              </w:rPr>
              <w:t>1996-2004 (</w:t>
            </w:r>
            <w:r w:rsidR="008202FA">
              <w:rPr>
                <w:rFonts w:ascii="Times New Roman" w:hAnsi="Times New Roman" w:cs="Times New Roman"/>
                <w:sz w:val="22"/>
                <w:lang w:val="en-GB"/>
              </w:rPr>
              <w:t>havainto</w:t>
            </w:r>
            <w:r w:rsidRPr="005C74DF">
              <w:rPr>
                <w:rFonts w:ascii="Times New Roman" w:hAnsi="Times New Roman" w:cs="Times New Roman"/>
                <w:sz w:val="22"/>
                <w:lang w:val="en-GB"/>
              </w:rPr>
              <w:t>) –2015 (</w:t>
            </w:r>
            <w:r w:rsidR="008202FA">
              <w:rPr>
                <w:rFonts w:ascii="Times New Roman" w:hAnsi="Times New Roman" w:cs="Times New Roman"/>
                <w:sz w:val="22"/>
                <w:lang w:val="en-GB"/>
              </w:rPr>
              <w:t>kolme eri ennustetta</w:t>
            </w:r>
            <w:r w:rsidRPr="005C74DF">
              <w:rPr>
                <w:rFonts w:ascii="Times New Roman" w:hAnsi="Times New Roman" w:cs="Times New Roman"/>
                <w:sz w:val="22"/>
                <w:lang w:val="en-GB"/>
              </w:rPr>
              <w:t>)</w:t>
            </w:r>
          </w:p>
        </w:tc>
        <w:tc>
          <w:tcPr>
            <w:tcW w:w="2126" w:type="dxa"/>
          </w:tcPr>
          <w:p w:rsidR="005229B3" w:rsidRPr="005C74DF" w:rsidRDefault="005229B3" w:rsidP="0038613E">
            <w:pPr>
              <w:rPr>
                <w:rFonts w:ascii="Times New Roman" w:hAnsi="Times New Roman" w:cs="Times New Roman"/>
                <w:sz w:val="22"/>
                <w:lang w:val="en-GB"/>
              </w:rPr>
            </w:pPr>
            <w:r w:rsidRPr="005C74DF">
              <w:rPr>
                <w:rFonts w:ascii="Times New Roman" w:hAnsi="Times New Roman" w:cs="Times New Roman"/>
                <w:sz w:val="22"/>
                <w:lang w:val="en-GB"/>
              </w:rPr>
              <w:t>1996-2004: 4.2%</w:t>
            </w:r>
          </w:p>
          <w:p w:rsidR="005229B3" w:rsidRPr="005C74DF" w:rsidRDefault="005229B3">
            <w:pPr>
              <w:rPr>
                <w:rFonts w:ascii="Times New Roman" w:hAnsi="Times New Roman" w:cs="Times New Roman"/>
                <w:sz w:val="22"/>
                <w:lang w:val="en-GB"/>
              </w:rPr>
            </w:pPr>
            <w:r w:rsidRPr="005C74DF">
              <w:rPr>
                <w:rFonts w:ascii="Times New Roman" w:hAnsi="Times New Roman" w:cs="Times New Roman"/>
                <w:sz w:val="22"/>
                <w:lang w:val="en-GB"/>
              </w:rPr>
              <w:t xml:space="preserve">2004-2015: </w:t>
            </w:r>
            <w:r w:rsidR="008202FA">
              <w:rPr>
                <w:rFonts w:ascii="Times New Roman" w:hAnsi="Times New Roman" w:cs="Times New Roman"/>
                <w:sz w:val="22"/>
                <w:lang w:val="en-GB"/>
              </w:rPr>
              <w:t>regressiomalli</w:t>
            </w:r>
            <w:r w:rsidR="008202FA" w:rsidRPr="005C74DF">
              <w:rPr>
                <w:rFonts w:ascii="Times New Roman" w:hAnsi="Times New Roman" w:cs="Times New Roman"/>
                <w:sz w:val="22"/>
                <w:lang w:val="en-GB"/>
              </w:rPr>
              <w:t xml:space="preserve"> </w:t>
            </w:r>
            <w:r w:rsidRPr="005C74DF">
              <w:rPr>
                <w:rFonts w:ascii="Times New Roman" w:hAnsi="Times New Roman" w:cs="Times New Roman"/>
                <w:sz w:val="22"/>
                <w:lang w:val="en-GB"/>
              </w:rPr>
              <w:t xml:space="preserve">2.6%, </w:t>
            </w:r>
            <w:r w:rsidR="008202FA">
              <w:rPr>
                <w:rFonts w:ascii="Times New Roman" w:hAnsi="Times New Roman" w:cs="Times New Roman"/>
                <w:sz w:val="22"/>
                <w:lang w:val="en-GB"/>
              </w:rPr>
              <w:t>asiantuntijat</w:t>
            </w:r>
            <w:r w:rsidR="008202FA" w:rsidRPr="005C74DF">
              <w:rPr>
                <w:rFonts w:ascii="Times New Roman" w:hAnsi="Times New Roman" w:cs="Times New Roman"/>
                <w:sz w:val="22"/>
                <w:lang w:val="en-GB"/>
              </w:rPr>
              <w:t xml:space="preserve"> </w:t>
            </w:r>
            <w:r w:rsidRPr="005C74DF">
              <w:rPr>
                <w:rFonts w:ascii="Times New Roman" w:hAnsi="Times New Roman" w:cs="Times New Roman"/>
                <w:sz w:val="22"/>
                <w:lang w:val="en-GB"/>
              </w:rPr>
              <w:t xml:space="preserve">4.9%, </w:t>
            </w:r>
            <w:r w:rsidR="008202FA">
              <w:rPr>
                <w:rFonts w:ascii="Times New Roman" w:hAnsi="Times New Roman" w:cs="Times New Roman"/>
                <w:sz w:val="22"/>
                <w:lang w:val="en-GB"/>
              </w:rPr>
              <w:t>ekponentiaalinen malli</w:t>
            </w:r>
            <w:r w:rsidR="008202FA" w:rsidRPr="005C74DF">
              <w:rPr>
                <w:rFonts w:ascii="Times New Roman" w:hAnsi="Times New Roman" w:cs="Times New Roman"/>
                <w:sz w:val="22"/>
                <w:lang w:val="en-GB"/>
              </w:rPr>
              <w:t xml:space="preserve"> </w:t>
            </w:r>
            <w:r w:rsidRPr="005C74DF">
              <w:rPr>
                <w:rFonts w:ascii="Times New Roman" w:hAnsi="Times New Roman" w:cs="Times New Roman"/>
                <w:sz w:val="22"/>
                <w:lang w:val="en-GB"/>
              </w:rPr>
              <w:t>8.5%</w:t>
            </w:r>
          </w:p>
        </w:tc>
        <w:tc>
          <w:tcPr>
            <w:tcW w:w="1843" w:type="dxa"/>
            <w:vMerge/>
          </w:tcPr>
          <w:p w:rsidR="005229B3" w:rsidRPr="005C74DF" w:rsidRDefault="005229B3" w:rsidP="0038613E">
            <w:pPr>
              <w:rPr>
                <w:rFonts w:ascii="Times New Roman" w:hAnsi="Times New Roman" w:cs="Times New Roman"/>
                <w:sz w:val="22"/>
                <w:lang w:val="en-GB"/>
              </w:rPr>
            </w:pPr>
          </w:p>
        </w:tc>
      </w:tr>
    </w:tbl>
    <w:p w:rsidR="005229B3" w:rsidRDefault="005229B3" w:rsidP="00D471CE">
      <w:pPr>
        <w:pStyle w:val="PlainText"/>
        <w:rPr>
          <w:szCs w:val="24"/>
        </w:rPr>
      </w:pPr>
    </w:p>
    <w:p w:rsidR="00D471CE" w:rsidRDefault="00D471CE" w:rsidP="00D471CE">
      <w:pPr>
        <w:pStyle w:val="PlainText"/>
        <w:rPr>
          <w:szCs w:val="24"/>
        </w:rPr>
      </w:pPr>
      <w:r>
        <w:rPr>
          <w:szCs w:val="24"/>
        </w:rPr>
        <w:t>Syövän hoidon tulokset ovat samaan aikaan parantuneet useilla eri mittareilla arvioituna (</w:t>
      </w:r>
      <w:r>
        <w:rPr>
          <w:szCs w:val="24"/>
        </w:rPr>
        <w:fldChar w:fldCharType="begin"/>
      </w:r>
      <w:r>
        <w:rPr>
          <w:szCs w:val="24"/>
        </w:rPr>
        <w:instrText xml:space="preserve"> REF _Ref473704285 \h </w:instrText>
      </w:r>
      <w:r>
        <w:rPr>
          <w:szCs w:val="24"/>
        </w:rPr>
      </w:r>
      <w:r>
        <w:rPr>
          <w:szCs w:val="24"/>
        </w:rPr>
        <w:fldChar w:fldCharType="separate"/>
      </w:r>
      <w:r w:rsidR="00976D54">
        <w:t xml:space="preserve">Kuva </w:t>
      </w:r>
      <w:r w:rsidR="00976D54">
        <w:rPr>
          <w:noProof/>
        </w:rPr>
        <w:t>6</w:t>
      </w:r>
      <w:r>
        <w:rPr>
          <w:szCs w:val="24"/>
        </w:rPr>
        <w:fldChar w:fldCharType="end"/>
      </w:r>
      <w:r>
        <w:rPr>
          <w:szCs w:val="24"/>
        </w:rPr>
        <w:t xml:space="preserve">). Suhteellinen </w:t>
      </w:r>
      <w:r w:rsidR="005D03FE">
        <w:rPr>
          <w:szCs w:val="24"/>
        </w:rPr>
        <w:t>viiden</w:t>
      </w:r>
      <w:r>
        <w:rPr>
          <w:szCs w:val="24"/>
        </w:rPr>
        <w:t xml:space="preserve"> vuoden eloonjääminen on kasvanut 7 </w:t>
      </w:r>
      <w:r w:rsidR="000E3840">
        <w:rPr>
          <w:szCs w:val="24"/>
        </w:rPr>
        <w:t>prosenttia</w:t>
      </w:r>
      <w:r>
        <w:rPr>
          <w:szCs w:val="24"/>
        </w:rPr>
        <w:t xml:space="preserve"> ja ikävakioitu kuolleisuus alentunut 11 </w:t>
      </w:r>
      <w:r w:rsidR="000E3840">
        <w:rPr>
          <w:szCs w:val="24"/>
        </w:rPr>
        <w:t>prosenttia</w:t>
      </w:r>
      <w:r>
        <w:rPr>
          <w:szCs w:val="24"/>
        </w:rPr>
        <w:t>. Myös syöpään liittyvä työkyvyttömyys on vähentynyt.</w:t>
      </w:r>
      <w:r w:rsidR="0026394F">
        <w:rPr>
          <w:szCs w:val="24"/>
        </w:rPr>
        <w:t xml:space="preserve"> Uusien työkyvyttömyyseläkkeiden vähenemä liittynee osittain syövän hoidon kehittymiseen ja osittain eläkekäytäntöjen muuttumiseen.</w:t>
      </w:r>
    </w:p>
    <w:p w:rsidR="00D471CE" w:rsidRDefault="00D471CE" w:rsidP="00D471CE"/>
    <w:p w:rsidR="00D471CE" w:rsidRDefault="00D471CE" w:rsidP="00D471CE">
      <w:pPr>
        <w:pStyle w:val="Caption"/>
        <w:keepNext/>
      </w:pPr>
      <w:bookmarkStart w:id="8" w:name="_Ref473704285"/>
      <w:r>
        <w:lastRenderedPageBreak/>
        <w:t xml:space="preserve">Kuva </w:t>
      </w:r>
      <w:fldSimple w:instr=" SEQ Kuva \* ARABIC ">
        <w:r w:rsidR="00AF6C6F">
          <w:rPr>
            <w:noProof/>
          </w:rPr>
          <w:t>6</w:t>
        </w:r>
      </w:fldSimple>
      <w:bookmarkEnd w:id="8"/>
      <w:r w:rsidR="00976D54">
        <w:t>.</w:t>
      </w:r>
      <w:r>
        <w:t xml:space="preserve"> Syövän hoidon kehitys 2004-2014 Suomessa</w:t>
      </w:r>
      <w:r w:rsidR="0026394F">
        <w:t>. 2004 = 1 ja 2014 luvut on ilmoitettu suhteessa vuoteen 2004.</w:t>
      </w:r>
    </w:p>
    <w:p w:rsidR="00D471CE" w:rsidRPr="00667B6C" w:rsidRDefault="00976D54" w:rsidP="00D471CE">
      <w:r w:rsidRPr="00976D54">
        <w:t xml:space="preserve"> </w:t>
      </w:r>
      <w:r w:rsidRPr="00976D54">
        <w:rPr>
          <w:noProof/>
          <w:lang w:eastAsia="fi-FI"/>
        </w:rPr>
        <w:drawing>
          <wp:inline distT="0" distB="0" distL="0" distR="0" wp14:anchorId="36B76ED3" wp14:editId="362372D7">
            <wp:extent cx="6120130" cy="418328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4183289"/>
                    </a:xfrm>
                    <a:prstGeom prst="rect">
                      <a:avLst/>
                    </a:prstGeom>
                    <a:noFill/>
                    <a:ln>
                      <a:noFill/>
                    </a:ln>
                  </pic:spPr>
                </pic:pic>
              </a:graphicData>
            </a:graphic>
          </wp:inline>
        </w:drawing>
      </w:r>
    </w:p>
    <w:p w:rsidR="0026394F" w:rsidRDefault="0026394F">
      <w:pPr>
        <w:spacing w:line="259" w:lineRule="auto"/>
        <w:jc w:val="left"/>
        <w:rPr>
          <w:rFonts w:asciiTheme="majorHAnsi" w:eastAsiaTheme="majorEastAsia" w:hAnsiTheme="majorHAnsi" w:cstheme="majorBidi"/>
          <w:color w:val="2E74B5" w:themeColor="accent1" w:themeShade="BF"/>
          <w:sz w:val="32"/>
          <w:szCs w:val="32"/>
        </w:rPr>
      </w:pPr>
      <w:r>
        <w:br w:type="page"/>
      </w:r>
    </w:p>
    <w:p w:rsidR="00B05092" w:rsidRDefault="00B05092" w:rsidP="00B05092">
      <w:pPr>
        <w:pStyle w:val="Heading1"/>
      </w:pPr>
      <w:r>
        <w:lastRenderedPageBreak/>
        <w:t>Kustannusten ennustemallit 2014-2025</w:t>
      </w:r>
    </w:p>
    <w:p w:rsidR="00B05092" w:rsidRDefault="00B05092" w:rsidP="00B05092">
      <w:r>
        <w:t>Kustannusten ennustetaan kasvavan n</w:t>
      </w:r>
      <w:r w:rsidR="005D03FE">
        <w:t>oin</w:t>
      </w:r>
      <w:r>
        <w:t xml:space="preserve"> 35</w:t>
      </w:r>
      <w:r w:rsidR="000E3840">
        <w:t xml:space="preserve"> prosenti</w:t>
      </w:r>
      <w:r>
        <w:t>lla 1,3 miljardiin euroon vuoteen 2025 mennessä</w:t>
      </w:r>
      <w:r w:rsidR="00976D54">
        <w:t xml:space="preserve"> (</w:t>
      </w:r>
      <w:r w:rsidR="00976D54">
        <w:fldChar w:fldCharType="begin"/>
      </w:r>
      <w:r w:rsidR="00976D54">
        <w:instrText xml:space="preserve"> REF _Ref486196698 \h </w:instrText>
      </w:r>
      <w:r w:rsidR="00976D54">
        <w:fldChar w:fldCharType="separate"/>
      </w:r>
      <w:r w:rsidR="00976D54">
        <w:t xml:space="preserve">Kuva </w:t>
      </w:r>
      <w:r w:rsidR="00976D54">
        <w:rPr>
          <w:noProof/>
        </w:rPr>
        <w:t>7</w:t>
      </w:r>
      <w:r w:rsidR="00976D54">
        <w:fldChar w:fldCharType="end"/>
      </w:r>
      <w:r w:rsidR="00976D54">
        <w:t>)</w:t>
      </w:r>
      <w:r>
        <w:t xml:space="preserve">. Ennustettu vuosittainen kasvuvauhti on 3 </w:t>
      </w:r>
      <w:r w:rsidR="000E3840">
        <w:t>prosenttia</w:t>
      </w:r>
      <w:r>
        <w:t xml:space="preserve">. Ennustemalli, jossa pohjana on käytetty </w:t>
      </w:r>
      <w:r w:rsidR="00976D54">
        <w:t>viiden</w:t>
      </w:r>
      <w:r>
        <w:t xml:space="preserve"> viime vuoden toteutunutta kustannuskehitystä, on maltillisin ja vastaavasti pelkästään uusien syöpäpotilaiden määrään pohjautuva ennuste ennakoi voimakkainta kasvua kustannuksiin.</w:t>
      </w:r>
    </w:p>
    <w:p w:rsidR="00B05092" w:rsidRDefault="00B05092" w:rsidP="00B05092"/>
    <w:p w:rsidR="00976D54" w:rsidRDefault="00B05092" w:rsidP="00A27423">
      <w:pPr>
        <w:keepNext/>
      </w:pPr>
      <w:r w:rsidRPr="00B05092">
        <w:rPr>
          <w:noProof/>
          <w:lang w:eastAsia="fi-FI"/>
        </w:rPr>
        <w:drawing>
          <wp:inline distT="0" distB="0" distL="0" distR="0" wp14:anchorId="08F961F3" wp14:editId="622F5176">
            <wp:extent cx="6120130" cy="2529713"/>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2529713"/>
                    </a:xfrm>
                    <a:prstGeom prst="rect">
                      <a:avLst/>
                    </a:prstGeom>
                    <a:noFill/>
                    <a:ln>
                      <a:noFill/>
                    </a:ln>
                  </pic:spPr>
                </pic:pic>
              </a:graphicData>
            </a:graphic>
          </wp:inline>
        </w:drawing>
      </w:r>
    </w:p>
    <w:p w:rsidR="00B05092" w:rsidRPr="00B05092" w:rsidRDefault="00976D54" w:rsidP="00A27423">
      <w:pPr>
        <w:pStyle w:val="Caption"/>
      </w:pPr>
      <w:bookmarkStart w:id="9" w:name="_Ref486196698"/>
      <w:r>
        <w:t xml:space="preserve">Kuva </w:t>
      </w:r>
      <w:fldSimple w:instr=" SEQ Kuva \* ARABIC ">
        <w:r w:rsidR="00AF6C6F">
          <w:rPr>
            <w:noProof/>
          </w:rPr>
          <w:t>7</w:t>
        </w:r>
      </w:fldSimple>
      <w:bookmarkEnd w:id="9"/>
      <w:r>
        <w:t>. Ennusteet kustannuskasvulle 2025 kolmella eri menetelmällä</w:t>
      </w:r>
    </w:p>
    <w:p w:rsidR="00B05092" w:rsidRDefault="00B05092" w:rsidP="00B05092">
      <w:r>
        <w:t>Syövän hoidon kustannusten jakauman ennustaminen pohjautuu 2004-2014 toteutuneeseen kehitykseen. Todennäköisesti kasvu kohdistuu jatkossakin enimmäkseen avomuotoiseen toimintaan</w:t>
      </w:r>
      <w:r w:rsidR="007A499D">
        <w:t xml:space="preserve"> ja vuodeosastotoiminna</w:t>
      </w:r>
      <w:r w:rsidR="00AF6C6F">
        <w:t>ssa</w:t>
      </w:r>
      <w:r w:rsidR="007A499D">
        <w:t xml:space="preserve"> hoitomenetelmien kehittyminen ja toiminnan tehostuminen hillitsevät kustannuskasvua</w:t>
      </w:r>
      <w:r>
        <w:t>. Meneillään olevan kansallise</w:t>
      </w:r>
      <w:r w:rsidR="007A499D">
        <w:t xml:space="preserve">n SOTE-uudistuksen vuoksi </w:t>
      </w:r>
      <w:r>
        <w:t xml:space="preserve"> organisaatioiden luokittelu saattaa </w:t>
      </w:r>
      <w:r w:rsidR="007A499D">
        <w:t>muuttua aikavälillä ja esimerkiksi lääkkeiden kustannukset saattavat kohdistua eri tavoin kuin nykyisessä järjestelmässä.</w:t>
      </w:r>
    </w:p>
    <w:p w:rsidR="00AF6C6F" w:rsidRDefault="00B05092" w:rsidP="00A27423">
      <w:pPr>
        <w:keepNext/>
      </w:pPr>
      <w:r w:rsidRPr="00B05092">
        <w:rPr>
          <w:noProof/>
          <w:lang w:eastAsia="fi-FI"/>
        </w:rPr>
        <w:drawing>
          <wp:inline distT="0" distB="0" distL="0" distR="0" wp14:anchorId="4C54FFD2" wp14:editId="73E700F7">
            <wp:extent cx="6120130" cy="253415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534151"/>
                    </a:xfrm>
                    <a:prstGeom prst="rect">
                      <a:avLst/>
                    </a:prstGeom>
                    <a:noFill/>
                    <a:ln>
                      <a:noFill/>
                    </a:ln>
                  </pic:spPr>
                </pic:pic>
              </a:graphicData>
            </a:graphic>
          </wp:inline>
        </w:drawing>
      </w:r>
    </w:p>
    <w:p w:rsidR="00B05092" w:rsidRPr="00B05092" w:rsidRDefault="00AF6C6F" w:rsidP="00A27423">
      <w:pPr>
        <w:pStyle w:val="Caption"/>
      </w:pPr>
      <w:r>
        <w:t xml:space="preserve">Kuva </w:t>
      </w:r>
      <w:fldSimple w:instr=" SEQ Kuva \* ARABIC ">
        <w:r>
          <w:rPr>
            <w:noProof/>
          </w:rPr>
          <w:t>8</w:t>
        </w:r>
      </w:fldSimple>
      <w:r>
        <w:t>. Syövän kustannusten jakautuminen kustannuslajeihin vuoden 2025 ennusteessa, joka perustuu 2004-2014 regressiolle</w:t>
      </w:r>
    </w:p>
    <w:p w:rsidR="0026394F" w:rsidRDefault="0026394F">
      <w:pPr>
        <w:spacing w:line="259" w:lineRule="auto"/>
        <w:jc w:val="left"/>
        <w:rPr>
          <w:rFonts w:asciiTheme="majorHAnsi" w:eastAsiaTheme="majorEastAsia" w:hAnsiTheme="majorHAnsi" w:cstheme="majorBidi"/>
          <w:color w:val="2E74B5" w:themeColor="accent1" w:themeShade="BF"/>
          <w:sz w:val="32"/>
          <w:szCs w:val="32"/>
        </w:rPr>
      </w:pPr>
      <w:r>
        <w:lastRenderedPageBreak/>
        <w:br w:type="page"/>
      </w:r>
    </w:p>
    <w:p w:rsidR="00F03855" w:rsidRDefault="00F03855" w:rsidP="001626A4">
      <w:pPr>
        <w:pStyle w:val="Heading1"/>
      </w:pPr>
      <w:r w:rsidRPr="001626A4">
        <w:lastRenderedPageBreak/>
        <w:t xml:space="preserve">Pohdinta </w:t>
      </w:r>
    </w:p>
    <w:p w:rsidR="007268A1" w:rsidRDefault="007268A1" w:rsidP="007268A1">
      <w:pPr>
        <w:pStyle w:val="PlainText"/>
        <w:rPr>
          <w:szCs w:val="24"/>
        </w:rPr>
      </w:pPr>
    </w:p>
    <w:p w:rsidR="00CC4FA5" w:rsidRDefault="002015C6">
      <w:pPr>
        <w:rPr>
          <w:szCs w:val="24"/>
        </w:rPr>
      </w:pPr>
      <w:r>
        <w:rPr>
          <w:szCs w:val="24"/>
        </w:rPr>
        <w:t>Tulevaisuudessa on entistä tärkeämpää tarkastella kustannuksia asiakas- tai potilaskohtaisesti ja sairausryhmäkohtaisesti – myös muutoin kuin syövän osalta. Asiakkaat saavat terveyspalveluiden ohella palveluita muista yksiköistä ja toisaalta hoitoon liittyy epäsuoria kustannuksia. Potilas ja sairausryhmäkohtainen mittaaminen antavat kattavamman kuvan toiminnan kehittymisestä kuin yksikkösuuntainen tarkastelu. Tällöin myös vältetään mahdollisuus osaoptimointiin: esimerkiksi siihen, että hoidon kustannuksia vähennetään siirtämällä lääkityskustannuksia sairaalan ulkopuolelle.</w:t>
      </w:r>
    </w:p>
    <w:p w:rsidR="0018562B" w:rsidRDefault="002015C6">
      <w:pPr>
        <w:rPr>
          <w:szCs w:val="24"/>
        </w:rPr>
      </w:pPr>
      <w:r>
        <w:rPr>
          <w:szCs w:val="24"/>
        </w:rPr>
        <w:t>Kustannustarkasteluihin on syytä yhdistää vaikuttavuus: mitä panoksilla on saatu aikaan. Tällä hetkellä Suomessa rekisterit mahdollistavat syövän osalta eloonjäämiseen, kuolleisuuteen ja työkyvyttömyyteen perustuvaa arvioint</w:t>
      </w:r>
      <w:r w:rsidR="0018562B">
        <w:rPr>
          <w:szCs w:val="24"/>
        </w:rPr>
        <w:t>ia. Kun syö</w:t>
      </w:r>
      <w:r w:rsidR="00AF6C6F">
        <w:rPr>
          <w:szCs w:val="24"/>
        </w:rPr>
        <w:t>päpotilaista</w:t>
      </w:r>
      <w:r w:rsidR="0018562B">
        <w:rPr>
          <w:szCs w:val="24"/>
        </w:rPr>
        <w:t xml:space="preserve"> yhä suurempi osa </w:t>
      </w:r>
      <w:r w:rsidR="00AF6C6F">
        <w:rPr>
          <w:szCs w:val="24"/>
        </w:rPr>
        <w:t>elää vähintään viisi vuotta</w:t>
      </w:r>
      <w:r w:rsidR="0018562B">
        <w:rPr>
          <w:szCs w:val="24"/>
        </w:rPr>
        <w:t xml:space="preserve">, nousee myös potilaiden raportoiman terveydentilan ja toimintakyvyn merkitys (Patient reported outcome measures, PROM) </w:t>
      </w:r>
      <w:r w:rsidR="005229B3">
        <w:rPr>
          <w:szCs w:val="24"/>
        </w:rPr>
        <w:t xml:space="preserve">sekä potilaskokemus (Patient reported experience measures, PREM) </w:t>
      </w:r>
      <w:r w:rsidR="0018562B">
        <w:rPr>
          <w:szCs w:val="24"/>
        </w:rPr>
        <w:t>vaikuttavuuden arvioinnissa</w:t>
      </w:r>
      <w:r w:rsidR="006C15F8">
        <w:rPr>
          <w:szCs w:val="24"/>
        </w:rPr>
        <w:t xml:space="preserve"> (Nilsson ym. 2015</w:t>
      </w:r>
      <w:r w:rsidR="005229B3">
        <w:rPr>
          <w:szCs w:val="24"/>
        </w:rPr>
        <w:t>)</w:t>
      </w:r>
      <w:r w:rsidR="0018562B">
        <w:rPr>
          <w:szCs w:val="24"/>
        </w:rPr>
        <w:t xml:space="preserve">. </w:t>
      </w:r>
    </w:p>
    <w:p w:rsidR="0018562B" w:rsidRDefault="0018562B">
      <w:pPr>
        <w:rPr>
          <w:szCs w:val="24"/>
        </w:rPr>
      </w:pPr>
      <w:r>
        <w:rPr>
          <w:szCs w:val="24"/>
        </w:rPr>
        <w:t xml:space="preserve">Suomessa on hyvät valmiudet tehdä jatkossa seurantaa esimerkiksi vuosittain päivittyvänä. THL:n Hoitoilmoitusrekisterin päälle voidaan rakentaa syövän hoidon aiheuttamien kustannusten laskentamalli, johon KELA:n ja Syöpärekisterin tiedot liittämällä voidaan vuosittain arvioida kokonaiskustannusten kehittymistä. </w:t>
      </w:r>
    </w:p>
    <w:p w:rsidR="0018562B" w:rsidRPr="002E6890" w:rsidRDefault="0018562B" w:rsidP="009349FF">
      <w:pPr>
        <w:rPr>
          <w:b/>
          <w:szCs w:val="24"/>
        </w:rPr>
      </w:pPr>
    </w:p>
    <w:p w:rsidR="00410547" w:rsidRPr="00A44B7C" w:rsidRDefault="003D43B8" w:rsidP="009349FF">
      <w:pPr>
        <w:rPr>
          <w:b/>
          <w:szCs w:val="24"/>
          <w:lang w:val="en-US"/>
        </w:rPr>
      </w:pPr>
      <w:r w:rsidRPr="00A44B7C">
        <w:rPr>
          <w:b/>
          <w:szCs w:val="24"/>
          <w:lang w:val="en-US"/>
        </w:rPr>
        <w:t>Lähteet</w:t>
      </w:r>
    </w:p>
    <w:p w:rsidR="00B247F5" w:rsidRDefault="00B247F5" w:rsidP="0048406A">
      <w:pPr>
        <w:rPr>
          <w:lang w:val="en-US"/>
        </w:rPr>
      </w:pPr>
      <w:r w:rsidRPr="00B247F5">
        <w:rPr>
          <w:lang w:val="en-US"/>
        </w:rPr>
        <w:t>Brown ML, Lipscomb J, Snyder C. The burden of illness of cancer: Economic cost and quality of life. Annu Rev Publ Health. 2001;22: 91-113.</w:t>
      </w:r>
    </w:p>
    <w:p w:rsidR="0048406A" w:rsidRDefault="0048406A" w:rsidP="0048406A">
      <w:pPr>
        <w:rPr>
          <w:lang w:val="en-US"/>
        </w:rPr>
      </w:pPr>
      <w:r w:rsidRPr="0048406A">
        <w:rPr>
          <w:lang w:val="en-US"/>
        </w:rPr>
        <w:t>Drummond M. Methods for the economic evaluation of health</w:t>
      </w:r>
      <w:r>
        <w:rPr>
          <w:lang w:val="en-US"/>
        </w:rPr>
        <w:t xml:space="preserve"> </w:t>
      </w:r>
      <w:r w:rsidRPr="0048406A">
        <w:rPr>
          <w:lang w:val="en-US"/>
        </w:rPr>
        <w:t>care programmes. 2. painos. Oxford: Oxford University Press,</w:t>
      </w:r>
      <w:r>
        <w:rPr>
          <w:lang w:val="en-US"/>
        </w:rPr>
        <w:t xml:space="preserve"> </w:t>
      </w:r>
      <w:r w:rsidRPr="0048406A">
        <w:rPr>
          <w:lang w:val="en-US"/>
        </w:rPr>
        <w:t>1997.</w:t>
      </w:r>
    </w:p>
    <w:p w:rsidR="009B1011" w:rsidRDefault="009B1011" w:rsidP="0048406A">
      <w:pPr>
        <w:rPr>
          <w:lang w:val="en-US"/>
        </w:rPr>
      </w:pPr>
      <w:r>
        <w:rPr>
          <w:lang w:val="en-US"/>
        </w:rPr>
        <w:t>Ferlay J, Shin HR, Bray F, Forman D, Mathers C, Parkin DM. Estimates of worldwide burden of cancer in 2008: GLOBOCAN 2008. Int J Cancer 127(12)2893- 917, 2010.</w:t>
      </w:r>
    </w:p>
    <w:p w:rsidR="009B1011" w:rsidRDefault="009B1011" w:rsidP="009B1011">
      <w:pPr>
        <w:rPr>
          <w:lang w:val="en-US"/>
        </w:rPr>
      </w:pPr>
      <w:r>
        <w:rPr>
          <w:lang w:val="en-US"/>
        </w:rPr>
        <w:t>Francisci S, Yabroff KR, Gigli A, Mariotto A, Mezzetti M, Lipscomb J. Advancing the science of cancer cost measurement: challenges and opportunities. Ann Ist Super Sanita. 49(1):73-78, 2013.</w:t>
      </w:r>
    </w:p>
    <w:p w:rsidR="0003548C" w:rsidRPr="00A27423" w:rsidRDefault="0003548C" w:rsidP="00A27423">
      <w:pPr>
        <w:spacing w:after="0"/>
      </w:pPr>
      <w:r w:rsidRPr="0003548C">
        <w:rPr>
          <w:lang w:val="en-US"/>
        </w:rPr>
        <w:t xml:space="preserve">IHE – Institutet för Hälso- och Sjukvårdsekonomi. Kostnader för cancer I Sverige idag och år 2040. </w:t>
      </w:r>
      <w:r w:rsidRPr="00A27423">
        <w:t xml:space="preserve">IHE Rapport 2016:1. </w:t>
      </w:r>
    </w:p>
    <w:p w:rsidR="0003548C" w:rsidRPr="00A27423" w:rsidRDefault="0003548C" w:rsidP="009B1011">
      <w:r w:rsidRPr="00A27423">
        <w:t>http://res.cloudinary.com/cancerfonden/image/upload/v1459776752/documents/iherapport-2016.pdf [Luettu 18.1.2017].</w:t>
      </w:r>
    </w:p>
    <w:p w:rsidR="009B1011" w:rsidRDefault="009B1011" w:rsidP="009B1011">
      <w:r>
        <w:rPr>
          <w:lang w:val="en-US"/>
        </w:rPr>
        <w:t xml:space="preserve">Jönsson B, Wilking N. The burden and cost of cancer. </w:t>
      </w:r>
      <w:r>
        <w:t>Ann Oncol. 18 (suppl 3): 8–22, 2007.</w:t>
      </w:r>
    </w:p>
    <w:p w:rsidR="009B1011" w:rsidRDefault="009B1011" w:rsidP="009B1011">
      <w:pPr>
        <w:rPr>
          <w:lang w:val="en-US"/>
        </w:rPr>
      </w:pPr>
      <w:r>
        <w:t xml:space="preserve">Kapiainen S, Väisänen A ja Haula T. Terveyden- ja sosiaalihuollon yksikkökustannukset Suomessa vuonna 2011. </w:t>
      </w:r>
      <w:r>
        <w:rPr>
          <w:lang w:val="en-US"/>
        </w:rPr>
        <w:t>Raportti 3/2014 THL. Tampere, 2014.</w:t>
      </w:r>
    </w:p>
    <w:p w:rsidR="009B1011" w:rsidRDefault="009B1011" w:rsidP="009B1011">
      <w:pPr>
        <w:rPr>
          <w:lang w:val="en-US"/>
        </w:rPr>
      </w:pPr>
      <w:r>
        <w:rPr>
          <w:lang w:val="en-US"/>
        </w:rPr>
        <w:t xml:space="preserve">Luengo-Fernandez R, Leal J, Gray A, Sullivan R. Economic burden of cancer across the European Union: a population-based cost analysis. Lancet Oncol. 14: 1165–1174, 2013. </w:t>
      </w:r>
    </w:p>
    <w:p w:rsidR="009B1011" w:rsidRPr="00A27423" w:rsidRDefault="009B1011" w:rsidP="009B1011">
      <w:pPr>
        <w:rPr>
          <w:lang w:val="en-US"/>
        </w:rPr>
      </w:pPr>
      <w:r>
        <w:rPr>
          <w:lang w:val="en-US"/>
        </w:rPr>
        <w:t xml:space="preserve">Mariotto AB, Yabroff KR, Shao Y, Feuer EJ, Brown ML. Projections of the Cost of Cancer Care in the U.S.: 2010-2020. </w:t>
      </w:r>
      <w:r w:rsidRPr="00A27423">
        <w:rPr>
          <w:lang w:val="en-US"/>
        </w:rPr>
        <w:t>J Natl Cancer Inst. 103(2): 117–128, 2011.</w:t>
      </w:r>
    </w:p>
    <w:p w:rsidR="008F5925" w:rsidRPr="00A27423" w:rsidRDefault="008F5925" w:rsidP="009B1011">
      <w:r w:rsidRPr="008F5925">
        <w:rPr>
          <w:lang w:val="en-GB"/>
        </w:rPr>
        <w:lastRenderedPageBreak/>
        <w:t xml:space="preserve">Ministerie van Volksgezondheid, Welzijn en Sport. Cost of illness in the Netherlands. </w:t>
      </w:r>
      <w:r w:rsidRPr="00A27423">
        <w:t>2011. https://costofillnesstool.volksgezondheidenzorg.info/tool/english/ [Luettu 12.11.2016].</w:t>
      </w:r>
    </w:p>
    <w:p w:rsidR="009B1011" w:rsidRPr="009B1011" w:rsidRDefault="009B1011" w:rsidP="009B1011">
      <w:pPr>
        <w:rPr>
          <w:lang w:val="en-US"/>
        </w:rPr>
      </w:pPr>
      <w:r>
        <w:t xml:space="preserve">Mäklin S, Rissanen P. Syöpien aiheuttamat kustannukset: Hoito- ja tuottavuuskustannusten kehitys vuosina 1996-2004 ja ennuste niiden muutoksista vuoteen 2015. </w:t>
      </w:r>
      <w:r w:rsidRPr="009B1011">
        <w:rPr>
          <w:lang w:val="en-US"/>
        </w:rPr>
        <w:t>Suomen Syöpäyhdistyksen julkaisuja 67, 2006.</w:t>
      </w:r>
    </w:p>
    <w:p w:rsidR="009B1011" w:rsidRDefault="009B1011" w:rsidP="009B1011">
      <w:pPr>
        <w:rPr>
          <w:lang w:val="en-US"/>
        </w:rPr>
      </w:pPr>
      <w:r>
        <w:rPr>
          <w:lang w:val="en-US"/>
        </w:rPr>
        <w:t>Møller H, Fairley L, Coupland V, Okello C, Green M, Forman D, Møller B, Bray F. The future burden of cancer in England: incidence and numbers of new patients in 2020. Br J Cancer 96:1484-1488, 2007.</w:t>
      </w:r>
    </w:p>
    <w:p w:rsidR="00BE6DD9" w:rsidRDefault="00BE6DD9" w:rsidP="009B1011">
      <w:pPr>
        <w:rPr>
          <w:lang w:val="en-US"/>
        </w:rPr>
      </w:pPr>
      <w:r w:rsidRPr="00BE6DD9">
        <w:rPr>
          <w:lang w:val="en-US"/>
        </w:rPr>
        <w:t>NHS England. Programme Budgeting Aggregate PCT Expenditure for all programmes and subcategories for financial years 2003/04 to 2012/13. https://www.networks.nhs.uk/nhs-networks/health-investment-network/documents/Programme%20Budgeting%20Aggregate%20PCT%20figure%202003-04%20to%202012-13.xls. [</w:t>
      </w:r>
      <w:r>
        <w:rPr>
          <w:lang w:val="en-US"/>
        </w:rPr>
        <w:t>Luettu</w:t>
      </w:r>
      <w:r w:rsidRPr="00BE6DD9">
        <w:rPr>
          <w:lang w:val="en-US"/>
        </w:rPr>
        <w:t xml:space="preserve"> </w:t>
      </w:r>
      <w:r>
        <w:rPr>
          <w:lang w:val="en-US"/>
        </w:rPr>
        <w:t>12.11.</w:t>
      </w:r>
      <w:r w:rsidRPr="00BE6DD9">
        <w:rPr>
          <w:lang w:val="en-US"/>
        </w:rPr>
        <w:t>2016].</w:t>
      </w:r>
    </w:p>
    <w:p w:rsidR="006C15F8" w:rsidRDefault="006C15F8" w:rsidP="009B1011">
      <w:pPr>
        <w:rPr>
          <w:lang w:val="en-US"/>
        </w:rPr>
      </w:pPr>
      <w:r w:rsidRPr="006C15F8">
        <w:rPr>
          <w:lang w:val="en-US"/>
        </w:rPr>
        <w:t>Nilsson E, Orwelius L, Kristenson M. Patient-reported outcomes in the Swedish National Quality Registers. Journal of Internal Medicine 2015 doi: 10.1111/joim.12409.</w:t>
      </w:r>
    </w:p>
    <w:p w:rsidR="009B1011" w:rsidRPr="00A27423" w:rsidRDefault="009B1011" w:rsidP="009B1011">
      <w:r w:rsidRPr="006C15F8">
        <w:rPr>
          <w:lang w:val="en-US"/>
        </w:rPr>
        <w:t xml:space="preserve">Sullivan R, Peppercorn J, Sikora K, et al. </w:t>
      </w:r>
      <w:r>
        <w:rPr>
          <w:lang w:val="en-US"/>
        </w:rPr>
        <w:t xml:space="preserve">Delivering affordable cancer care in high-income countries. </w:t>
      </w:r>
      <w:r w:rsidRPr="00A27423">
        <w:t>Lancet Oncol. 12: 933–980, 2011.</w:t>
      </w:r>
    </w:p>
    <w:p w:rsidR="00CC77D4" w:rsidRPr="00A27423" w:rsidRDefault="00CC77D4" w:rsidP="009B1011">
      <w:pPr>
        <w:rPr>
          <w:lang w:val="en-US"/>
        </w:rPr>
      </w:pPr>
      <w:r w:rsidRPr="00A27423">
        <w:t xml:space="preserve">Suomen Syöpärekisteri 2016. Syöpäpotilaiden eloonjäämisluvut koko maassa. </w:t>
      </w:r>
      <w:hyperlink r:id="rId16" w:history="1">
        <w:r w:rsidRPr="005F2CFA">
          <w:rPr>
            <w:rStyle w:val="Hyperlink"/>
            <w:szCs w:val="24"/>
          </w:rPr>
          <w:t>http://www.cancer.fi/@Bin/119520903/Elossaololuvut_koko_maa_2012-2014.pdf</w:t>
        </w:r>
      </w:hyperlink>
      <w:r w:rsidRPr="005F2CFA">
        <w:rPr>
          <w:szCs w:val="24"/>
        </w:rPr>
        <w:t xml:space="preserve">. </w:t>
      </w:r>
      <w:r w:rsidRPr="00A27423">
        <w:rPr>
          <w:szCs w:val="24"/>
          <w:lang w:val="en-US"/>
        </w:rPr>
        <w:t>[Luettu 12.11.2016]</w:t>
      </w:r>
    </w:p>
    <w:p w:rsidR="00BE6DD9" w:rsidRDefault="00BE6DD9" w:rsidP="009B1011">
      <w:pPr>
        <w:rPr>
          <w:lang w:val="en-US"/>
        </w:rPr>
      </w:pPr>
      <w:r w:rsidRPr="00BE6DD9">
        <w:rPr>
          <w:lang w:val="en-US"/>
        </w:rPr>
        <w:t>Tangka FK, Trogdon JG, Richardson LC, Howard D, Sabatino SA, Finkelstein EA. Cancer treatment costs in the United States: Has the burden shifted over time? Cancer 2010;116(14): 3477-3484.</w:t>
      </w:r>
    </w:p>
    <w:p w:rsidR="00132BB2" w:rsidRPr="00A27423" w:rsidRDefault="00132BB2" w:rsidP="009B1011">
      <w:pPr>
        <w:rPr>
          <w:lang w:val="en-US"/>
        </w:rPr>
      </w:pPr>
      <w:r w:rsidRPr="00EA6737">
        <w:rPr>
          <w:lang w:val="en-US"/>
        </w:rPr>
        <w:t xml:space="preserve">Venesmaa J. Organising a maternity care service network. </w:t>
      </w:r>
      <w:r w:rsidRPr="00A27423">
        <w:rPr>
          <w:lang w:val="en-US"/>
        </w:rPr>
        <w:t>Lisensiaattityö. Aalto-Yliopisto, Espoo 2011.</w:t>
      </w:r>
    </w:p>
    <w:p w:rsidR="009B1011" w:rsidRDefault="009B1011" w:rsidP="009B1011">
      <w:pPr>
        <w:rPr>
          <w:lang w:val="en-US"/>
        </w:rPr>
      </w:pPr>
      <w:r w:rsidRPr="00A27423">
        <w:rPr>
          <w:lang w:val="en-US"/>
        </w:rPr>
        <w:t xml:space="preserve">Warren JL, Yabroff KR, Meekins A, et al. </w:t>
      </w:r>
      <w:r>
        <w:rPr>
          <w:lang w:val="en-US"/>
        </w:rPr>
        <w:t>Evaluation of trends in the cost of initial cancer treatment. J Natl Cancer Inst. 100(12):888–897, 2008.</w:t>
      </w:r>
    </w:p>
    <w:p w:rsidR="007D3972" w:rsidRPr="009349FF" w:rsidRDefault="007D3972" w:rsidP="009B1011">
      <w:pPr>
        <w:rPr>
          <w:szCs w:val="24"/>
          <w:lang w:val="en-US"/>
        </w:rPr>
      </w:pPr>
    </w:p>
    <w:sectPr w:rsidR="007D3972" w:rsidRPr="009349F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FE" w:rsidRDefault="005D03FE" w:rsidP="00692D85">
      <w:pPr>
        <w:spacing w:after="0"/>
      </w:pPr>
      <w:r>
        <w:separator/>
      </w:r>
    </w:p>
  </w:endnote>
  <w:endnote w:type="continuationSeparator" w:id="0">
    <w:p w:rsidR="005D03FE" w:rsidRDefault="005D03FE" w:rsidP="00692D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FE" w:rsidRDefault="005D03FE" w:rsidP="00692D85">
      <w:pPr>
        <w:spacing w:after="0"/>
      </w:pPr>
      <w:r>
        <w:separator/>
      </w:r>
    </w:p>
  </w:footnote>
  <w:footnote w:type="continuationSeparator" w:id="0">
    <w:p w:rsidR="005D03FE" w:rsidRDefault="005D03FE" w:rsidP="00692D8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A42"/>
    <w:multiLevelType w:val="hybridMultilevel"/>
    <w:tmpl w:val="8902AA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4551FF"/>
    <w:multiLevelType w:val="hybridMultilevel"/>
    <w:tmpl w:val="F4DE9C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B9063D"/>
    <w:multiLevelType w:val="hybridMultilevel"/>
    <w:tmpl w:val="F83249F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66F50D9"/>
    <w:multiLevelType w:val="hybridMultilevel"/>
    <w:tmpl w:val="AB4401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2F0FE0"/>
    <w:multiLevelType w:val="hybridMultilevel"/>
    <w:tmpl w:val="9078D1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E02738E"/>
    <w:multiLevelType w:val="hybridMultilevel"/>
    <w:tmpl w:val="CD0CFC5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6942985"/>
    <w:multiLevelType w:val="hybridMultilevel"/>
    <w:tmpl w:val="B57E3A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AC57294"/>
    <w:multiLevelType w:val="hybridMultilevel"/>
    <w:tmpl w:val="B1BE6DF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2E302D30"/>
    <w:multiLevelType w:val="hybridMultilevel"/>
    <w:tmpl w:val="3872D96C"/>
    <w:lvl w:ilvl="0" w:tplc="ACC0AD76">
      <w:start w:val="1"/>
      <w:numFmt w:val="decimal"/>
      <w:lvlText w:val="%1)"/>
      <w:lvlJc w:val="left"/>
      <w:pPr>
        <w:ind w:left="720" w:hanging="360"/>
      </w:pPr>
      <w:rPr>
        <w:rFonts w:hint="default"/>
        <w:color w:val="000000" w:themeColor="text1"/>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1F122B1"/>
    <w:multiLevelType w:val="hybridMultilevel"/>
    <w:tmpl w:val="1DC67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48177E1"/>
    <w:multiLevelType w:val="hybridMultilevel"/>
    <w:tmpl w:val="B838DF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75618F1"/>
    <w:multiLevelType w:val="hybridMultilevel"/>
    <w:tmpl w:val="35D484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85E2BA0"/>
    <w:multiLevelType w:val="hybridMultilevel"/>
    <w:tmpl w:val="C178B1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F20D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CBD2816"/>
    <w:multiLevelType w:val="hybridMultilevel"/>
    <w:tmpl w:val="3872D96C"/>
    <w:lvl w:ilvl="0" w:tplc="ACC0AD76">
      <w:start w:val="1"/>
      <w:numFmt w:val="decimal"/>
      <w:lvlText w:val="%1)"/>
      <w:lvlJc w:val="left"/>
      <w:pPr>
        <w:ind w:left="720" w:hanging="360"/>
      </w:pPr>
      <w:rPr>
        <w:rFonts w:hint="default"/>
        <w:color w:val="000000" w:themeColor="text1"/>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04523DA"/>
    <w:multiLevelType w:val="hybridMultilevel"/>
    <w:tmpl w:val="2BF6E6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15F6530"/>
    <w:multiLevelType w:val="hybridMultilevel"/>
    <w:tmpl w:val="D318BF9A"/>
    <w:lvl w:ilvl="0" w:tplc="FF3AF0F6">
      <w:start w:val="27"/>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85F0BE1"/>
    <w:multiLevelType w:val="hybridMultilevel"/>
    <w:tmpl w:val="B0A2A2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9CB1373"/>
    <w:multiLevelType w:val="hybridMultilevel"/>
    <w:tmpl w:val="9C9A5E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FBC0557"/>
    <w:multiLevelType w:val="hybridMultilevel"/>
    <w:tmpl w:val="27F2DF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6E062A2"/>
    <w:multiLevelType w:val="hybridMultilevel"/>
    <w:tmpl w:val="7B004FE0"/>
    <w:lvl w:ilvl="0" w:tplc="DEDC49FA">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949449A"/>
    <w:multiLevelType w:val="hybridMultilevel"/>
    <w:tmpl w:val="4BDCCB1C"/>
    <w:lvl w:ilvl="0" w:tplc="6C22E9AE">
      <w:start w:val="1"/>
      <w:numFmt w:val="decimal"/>
      <w:lvlText w:val="%1)"/>
      <w:lvlJc w:val="left"/>
      <w:pPr>
        <w:ind w:left="1664" w:hanging="360"/>
      </w:pPr>
    </w:lvl>
    <w:lvl w:ilvl="1" w:tplc="04090019">
      <w:start w:val="1"/>
      <w:numFmt w:val="lowerLetter"/>
      <w:lvlText w:val="%2."/>
      <w:lvlJc w:val="left"/>
      <w:pPr>
        <w:ind w:left="2384" w:hanging="360"/>
      </w:pPr>
    </w:lvl>
    <w:lvl w:ilvl="2" w:tplc="0409001B">
      <w:start w:val="1"/>
      <w:numFmt w:val="lowerRoman"/>
      <w:lvlText w:val="%3."/>
      <w:lvlJc w:val="right"/>
      <w:pPr>
        <w:ind w:left="3104" w:hanging="180"/>
      </w:pPr>
    </w:lvl>
    <w:lvl w:ilvl="3" w:tplc="0409000F">
      <w:start w:val="1"/>
      <w:numFmt w:val="decimal"/>
      <w:lvlText w:val="%4."/>
      <w:lvlJc w:val="left"/>
      <w:pPr>
        <w:ind w:left="3824" w:hanging="360"/>
      </w:pPr>
    </w:lvl>
    <w:lvl w:ilvl="4" w:tplc="04090019">
      <w:start w:val="1"/>
      <w:numFmt w:val="lowerLetter"/>
      <w:lvlText w:val="%5."/>
      <w:lvlJc w:val="left"/>
      <w:pPr>
        <w:ind w:left="4544" w:hanging="360"/>
      </w:pPr>
    </w:lvl>
    <w:lvl w:ilvl="5" w:tplc="0409001B">
      <w:start w:val="1"/>
      <w:numFmt w:val="lowerRoman"/>
      <w:lvlText w:val="%6."/>
      <w:lvlJc w:val="right"/>
      <w:pPr>
        <w:ind w:left="5264" w:hanging="180"/>
      </w:pPr>
    </w:lvl>
    <w:lvl w:ilvl="6" w:tplc="0409000F">
      <w:start w:val="1"/>
      <w:numFmt w:val="decimal"/>
      <w:lvlText w:val="%7."/>
      <w:lvlJc w:val="left"/>
      <w:pPr>
        <w:ind w:left="5984" w:hanging="360"/>
      </w:pPr>
    </w:lvl>
    <w:lvl w:ilvl="7" w:tplc="04090019">
      <w:start w:val="1"/>
      <w:numFmt w:val="lowerLetter"/>
      <w:lvlText w:val="%8."/>
      <w:lvlJc w:val="left"/>
      <w:pPr>
        <w:ind w:left="6704" w:hanging="360"/>
      </w:pPr>
    </w:lvl>
    <w:lvl w:ilvl="8" w:tplc="0409001B">
      <w:start w:val="1"/>
      <w:numFmt w:val="lowerRoman"/>
      <w:lvlText w:val="%9."/>
      <w:lvlJc w:val="right"/>
      <w:pPr>
        <w:ind w:left="7424" w:hanging="180"/>
      </w:pPr>
    </w:lvl>
  </w:abstractNum>
  <w:num w:numId="1">
    <w:abstractNumId w:val="8"/>
  </w:num>
  <w:num w:numId="2">
    <w:abstractNumId w:val="5"/>
  </w:num>
  <w:num w:numId="3">
    <w:abstractNumId w:val="12"/>
  </w:num>
  <w:num w:numId="4">
    <w:abstractNumId w:val="3"/>
  </w:num>
  <w:num w:numId="5">
    <w:abstractNumId w:val="18"/>
  </w:num>
  <w:num w:numId="6">
    <w:abstractNumId w:val="1"/>
  </w:num>
  <w:num w:numId="7">
    <w:abstractNumId w:val="4"/>
  </w:num>
  <w:num w:numId="8">
    <w:abstractNumId w:val="6"/>
  </w:num>
  <w:num w:numId="9">
    <w:abstractNumId w:val="14"/>
  </w:num>
  <w:num w:numId="10">
    <w:abstractNumId w:val="15"/>
  </w:num>
  <w:num w:numId="11">
    <w:abstractNumId w:val="19"/>
  </w:num>
  <w:num w:numId="12">
    <w:abstractNumId w:val="17"/>
  </w:num>
  <w:num w:numId="13">
    <w:abstractNumId w:val="10"/>
  </w:num>
  <w:num w:numId="14">
    <w:abstractNumId w:val="2"/>
  </w:num>
  <w:num w:numId="15">
    <w:abstractNumId w:val="0"/>
  </w:num>
  <w:num w:numId="16">
    <w:abstractNumId w:val="7"/>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89"/>
    <w:rsid w:val="00004183"/>
    <w:rsid w:val="00022531"/>
    <w:rsid w:val="00023153"/>
    <w:rsid w:val="0003548C"/>
    <w:rsid w:val="000464F4"/>
    <w:rsid w:val="00061DAB"/>
    <w:rsid w:val="00077B10"/>
    <w:rsid w:val="000A0AB0"/>
    <w:rsid w:val="000C7E97"/>
    <w:rsid w:val="000D2FE7"/>
    <w:rsid w:val="000D7309"/>
    <w:rsid w:val="000E297E"/>
    <w:rsid w:val="000E3840"/>
    <w:rsid w:val="000F7988"/>
    <w:rsid w:val="00101BCC"/>
    <w:rsid w:val="00102D37"/>
    <w:rsid w:val="00106DD7"/>
    <w:rsid w:val="0011333A"/>
    <w:rsid w:val="00124367"/>
    <w:rsid w:val="001249CD"/>
    <w:rsid w:val="00132BB2"/>
    <w:rsid w:val="001339E3"/>
    <w:rsid w:val="0016158B"/>
    <w:rsid w:val="001626A4"/>
    <w:rsid w:val="0017495B"/>
    <w:rsid w:val="00175689"/>
    <w:rsid w:val="0018562B"/>
    <w:rsid w:val="001953E6"/>
    <w:rsid w:val="00195956"/>
    <w:rsid w:val="001A5993"/>
    <w:rsid w:val="001B1E85"/>
    <w:rsid w:val="001C270A"/>
    <w:rsid w:val="001F4E90"/>
    <w:rsid w:val="002015C6"/>
    <w:rsid w:val="002031F9"/>
    <w:rsid w:val="002142B9"/>
    <w:rsid w:val="00216D7E"/>
    <w:rsid w:val="002223B1"/>
    <w:rsid w:val="00245C74"/>
    <w:rsid w:val="002524DF"/>
    <w:rsid w:val="0026394F"/>
    <w:rsid w:val="00264CEF"/>
    <w:rsid w:val="00271CAF"/>
    <w:rsid w:val="00292608"/>
    <w:rsid w:val="002D2594"/>
    <w:rsid w:val="002E5500"/>
    <w:rsid w:val="002E6890"/>
    <w:rsid w:val="003014A3"/>
    <w:rsid w:val="003145D2"/>
    <w:rsid w:val="003515AC"/>
    <w:rsid w:val="00354183"/>
    <w:rsid w:val="003625B6"/>
    <w:rsid w:val="003711CF"/>
    <w:rsid w:val="00385A41"/>
    <w:rsid w:val="0038613E"/>
    <w:rsid w:val="00391327"/>
    <w:rsid w:val="00396954"/>
    <w:rsid w:val="0039702F"/>
    <w:rsid w:val="003B1E3C"/>
    <w:rsid w:val="003B23B6"/>
    <w:rsid w:val="003B6158"/>
    <w:rsid w:val="003C2705"/>
    <w:rsid w:val="003C406D"/>
    <w:rsid w:val="003D43B8"/>
    <w:rsid w:val="003E76E7"/>
    <w:rsid w:val="0040457B"/>
    <w:rsid w:val="00410547"/>
    <w:rsid w:val="00424231"/>
    <w:rsid w:val="00424967"/>
    <w:rsid w:val="004534EA"/>
    <w:rsid w:val="00460C07"/>
    <w:rsid w:val="0047576D"/>
    <w:rsid w:val="0048406A"/>
    <w:rsid w:val="00485FF6"/>
    <w:rsid w:val="00491081"/>
    <w:rsid w:val="00494AB4"/>
    <w:rsid w:val="004A305E"/>
    <w:rsid w:val="004D5C7E"/>
    <w:rsid w:val="004D6A71"/>
    <w:rsid w:val="004E09D5"/>
    <w:rsid w:val="004F13B8"/>
    <w:rsid w:val="004F49CB"/>
    <w:rsid w:val="0051094B"/>
    <w:rsid w:val="005138C6"/>
    <w:rsid w:val="005229B3"/>
    <w:rsid w:val="00540E85"/>
    <w:rsid w:val="00540F34"/>
    <w:rsid w:val="00554382"/>
    <w:rsid w:val="00561360"/>
    <w:rsid w:val="005636D2"/>
    <w:rsid w:val="0058228E"/>
    <w:rsid w:val="005A504B"/>
    <w:rsid w:val="005B07F8"/>
    <w:rsid w:val="005C6B0A"/>
    <w:rsid w:val="005D03FE"/>
    <w:rsid w:val="005F2CFA"/>
    <w:rsid w:val="005F5D9C"/>
    <w:rsid w:val="005F5FD0"/>
    <w:rsid w:val="00610E6B"/>
    <w:rsid w:val="006224D3"/>
    <w:rsid w:val="0063449D"/>
    <w:rsid w:val="00636EF6"/>
    <w:rsid w:val="00653460"/>
    <w:rsid w:val="00665DA3"/>
    <w:rsid w:val="00667B6C"/>
    <w:rsid w:val="00676DBC"/>
    <w:rsid w:val="0068608C"/>
    <w:rsid w:val="00692D85"/>
    <w:rsid w:val="00695AE9"/>
    <w:rsid w:val="006A0315"/>
    <w:rsid w:val="006B54FB"/>
    <w:rsid w:val="006C15F8"/>
    <w:rsid w:val="006C5E2E"/>
    <w:rsid w:val="006C6148"/>
    <w:rsid w:val="006D0DAC"/>
    <w:rsid w:val="006E173E"/>
    <w:rsid w:val="006E1F4A"/>
    <w:rsid w:val="006E6C34"/>
    <w:rsid w:val="007065BF"/>
    <w:rsid w:val="0071555D"/>
    <w:rsid w:val="007268A1"/>
    <w:rsid w:val="00726BDD"/>
    <w:rsid w:val="0073384E"/>
    <w:rsid w:val="00747222"/>
    <w:rsid w:val="007559A9"/>
    <w:rsid w:val="007570F7"/>
    <w:rsid w:val="00766C0B"/>
    <w:rsid w:val="00770DA2"/>
    <w:rsid w:val="00777442"/>
    <w:rsid w:val="007817F6"/>
    <w:rsid w:val="007A2B19"/>
    <w:rsid w:val="007A3B2E"/>
    <w:rsid w:val="007A499D"/>
    <w:rsid w:val="007D3972"/>
    <w:rsid w:val="007D488D"/>
    <w:rsid w:val="007D63E2"/>
    <w:rsid w:val="007E3345"/>
    <w:rsid w:val="007E34CE"/>
    <w:rsid w:val="007E6761"/>
    <w:rsid w:val="00802988"/>
    <w:rsid w:val="00802A5E"/>
    <w:rsid w:val="00803439"/>
    <w:rsid w:val="00803D8D"/>
    <w:rsid w:val="00806BA8"/>
    <w:rsid w:val="00814C24"/>
    <w:rsid w:val="008202FA"/>
    <w:rsid w:val="008206A0"/>
    <w:rsid w:val="00832326"/>
    <w:rsid w:val="00864DF0"/>
    <w:rsid w:val="00871B07"/>
    <w:rsid w:val="00871E68"/>
    <w:rsid w:val="008767F4"/>
    <w:rsid w:val="00886343"/>
    <w:rsid w:val="008A5897"/>
    <w:rsid w:val="008C6DFE"/>
    <w:rsid w:val="008E272C"/>
    <w:rsid w:val="008F5925"/>
    <w:rsid w:val="00901225"/>
    <w:rsid w:val="00904EC0"/>
    <w:rsid w:val="0092055C"/>
    <w:rsid w:val="009349FF"/>
    <w:rsid w:val="00940711"/>
    <w:rsid w:val="0095024D"/>
    <w:rsid w:val="009528FB"/>
    <w:rsid w:val="00975B9D"/>
    <w:rsid w:val="00976D54"/>
    <w:rsid w:val="009A2BF7"/>
    <w:rsid w:val="009B00DB"/>
    <w:rsid w:val="009B1011"/>
    <w:rsid w:val="009B3116"/>
    <w:rsid w:val="009C3A35"/>
    <w:rsid w:val="009E4A85"/>
    <w:rsid w:val="00A152D5"/>
    <w:rsid w:val="00A2515F"/>
    <w:rsid w:val="00A27423"/>
    <w:rsid w:val="00A37AAB"/>
    <w:rsid w:val="00A44B7C"/>
    <w:rsid w:val="00A44C6D"/>
    <w:rsid w:val="00A46301"/>
    <w:rsid w:val="00A55C44"/>
    <w:rsid w:val="00A62B1B"/>
    <w:rsid w:val="00A75B94"/>
    <w:rsid w:val="00A84ECF"/>
    <w:rsid w:val="00A85027"/>
    <w:rsid w:val="00A96489"/>
    <w:rsid w:val="00AB1032"/>
    <w:rsid w:val="00AB4B91"/>
    <w:rsid w:val="00AB59A5"/>
    <w:rsid w:val="00AD437E"/>
    <w:rsid w:val="00AE6728"/>
    <w:rsid w:val="00AF4305"/>
    <w:rsid w:val="00AF6C6F"/>
    <w:rsid w:val="00B01464"/>
    <w:rsid w:val="00B0457C"/>
    <w:rsid w:val="00B05092"/>
    <w:rsid w:val="00B10C31"/>
    <w:rsid w:val="00B247F5"/>
    <w:rsid w:val="00B270D0"/>
    <w:rsid w:val="00B30367"/>
    <w:rsid w:val="00B3057E"/>
    <w:rsid w:val="00B3142C"/>
    <w:rsid w:val="00B8162B"/>
    <w:rsid w:val="00B820D5"/>
    <w:rsid w:val="00B83796"/>
    <w:rsid w:val="00B867FE"/>
    <w:rsid w:val="00B868D2"/>
    <w:rsid w:val="00B92EEC"/>
    <w:rsid w:val="00B94B33"/>
    <w:rsid w:val="00BA1C55"/>
    <w:rsid w:val="00BC271F"/>
    <w:rsid w:val="00BD27B1"/>
    <w:rsid w:val="00BE6DD9"/>
    <w:rsid w:val="00BF43AA"/>
    <w:rsid w:val="00C03727"/>
    <w:rsid w:val="00C23745"/>
    <w:rsid w:val="00C25CB1"/>
    <w:rsid w:val="00C33DCB"/>
    <w:rsid w:val="00C74235"/>
    <w:rsid w:val="00C92F7F"/>
    <w:rsid w:val="00C943D7"/>
    <w:rsid w:val="00CA5DC7"/>
    <w:rsid w:val="00CB30C7"/>
    <w:rsid w:val="00CC4FA5"/>
    <w:rsid w:val="00CC77D4"/>
    <w:rsid w:val="00CE5D7E"/>
    <w:rsid w:val="00CF3414"/>
    <w:rsid w:val="00CF37C1"/>
    <w:rsid w:val="00CF66F6"/>
    <w:rsid w:val="00D04281"/>
    <w:rsid w:val="00D05042"/>
    <w:rsid w:val="00D14442"/>
    <w:rsid w:val="00D471CE"/>
    <w:rsid w:val="00D50FAF"/>
    <w:rsid w:val="00D53636"/>
    <w:rsid w:val="00D571A6"/>
    <w:rsid w:val="00D7386B"/>
    <w:rsid w:val="00D82A5B"/>
    <w:rsid w:val="00D83404"/>
    <w:rsid w:val="00D8652E"/>
    <w:rsid w:val="00D872CA"/>
    <w:rsid w:val="00D96EF6"/>
    <w:rsid w:val="00DC526A"/>
    <w:rsid w:val="00DD131F"/>
    <w:rsid w:val="00DD6034"/>
    <w:rsid w:val="00E02AA5"/>
    <w:rsid w:val="00E04AC5"/>
    <w:rsid w:val="00E0525A"/>
    <w:rsid w:val="00E1571B"/>
    <w:rsid w:val="00E218D8"/>
    <w:rsid w:val="00E3519B"/>
    <w:rsid w:val="00E44E07"/>
    <w:rsid w:val="00E45EDC"/>
    <w:rsid w:val="00E470EB"/>
    <w:rsid w:val="00E5731D"/>
    <w:rsid w:val="00E729A1"/>
    <w:rsid w:val="00E85091"/>
    <w:rsid w:val="00E936AF"/>
    <w:rsid w:val="00EA1EA3"/>
    <w:rsid w:val="00EC6769"/>
    <w:rsid w:val="00EF7DA0"/>
    <w:rsid w:val="00F03855"/>
    <w:rsid w:val="00F30485"/>
    <w:rsid w:val="00F32AD0"/>
    <w:rsid w:val="00F425C5"/>
    <w:rsid w:val="00F43C32"/>
    <w:rsid w:val="00F466F3"/>
    <w:rsid w:val="00F479B1"/>
    <w:rsid w:val="00FA203A"/>
    <w:rsid w:val="00FA4956"/>
    <w:rsid w:val="00FA68BB"/>
    <w:rsid w:val="00FB04B8"/>
    <w:rsid w:val="00FC07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AE60"/>
  <w15:docId w15:val="{08625A95-3B7C-4FCC-A4A7-58D8C584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6A4"/>
    <w:pPr>
      <w:spacing w:line="240" w:lineRule="auto"/>
      <w:jc w:val="both"/>
    </w:pPr>
    <w:rPr>
      <w:sz w:val="24"/>
    </w:rPr>
  </w:style>
  <w:style w:type="paragraph" w:styleId="Heading1">
    <w:name w:val="heading 1"/>
    <w:basedOn w:val="Normal"/>
    <w:next w:val="Normal"/>
    <w:link w:val="Heading1Char"/>
    <w:uiPriority w:val="9"/>
    <w:qFormat/>
    <w:rsid w:val="001626A4"/>
    <w:pPr>
      <w:keepNext/>
      <w:keepLines/>
      <w:numPr>
        <w:numId w:val="2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437E"/>
    <w:pPr>
      <w:keepNext/>
      <w:keepLines/>
      <w:numPr>
        <w:ilvl w:val="1"/>
        <w:numId w:val="2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C6769"/>
    <w:pPr>
      <w:keepNext/>
      <w:keepLines/>
      <w:numPr>
        <w:ilvl w:val="2"/>
        <w:numId w:val="22"/>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B247F5"/>
    <w:pPr>
      <w:keepNext/>
      <w:keepLines/>
      <w:numPr>
        <w:ilvl w:val="3"/>
        <w:numId w:val="2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247F5"/>
    <w:pPr>
      <w:keepNext/>
      <w:keepLines/>
      <w:numPr>
        <w:ilvl w:val="4"/>
        <w:numId w:val="2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247F5"/>
    <w:pPr>
      <w:keepNext/>
      <w:keepLines/>
      <w:numPr>
        <w:ilvl w:val="5"/>
        <w:numId w:val="2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247F5"/>
    <w:pPr>
      <w:keepNext/>
      <w:keepLines/>
      <w:numPr>
        <w:ilvl w:val="6"/>
        <w:numId w:val="2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247F5"/>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47F5"/>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689"/>
    <w:pPr>
      <w:ind w:left="720"/>
      <w:contextualSpacing/>
    </w:pPr>
  </w:style>
  <w:style w:type="paragraph" w:styleId="PlainText">
    <w:name w:val="Plain Text"/>
    <w:basedOn w:val="Normal"/>
    <w:link w:val="PlainTextChar"/>
    <w:uiPriority w:val="99"/>
    <w:unhideWhenUsed/>
    <w:rsid w:val="002524DF"/>
    <w:pPr>
      <w:spacing w:after="0"/>
    </w:pPr>
    <w:rPr>
      <w:rFonts w:ascii="Calibri" w:hAnsi="Calibri"/>
      <w:szCs w:val="21"/>
    </w:rPr>
  </w:style>
  <w:style w:type="character" w:customStyle="1" w:styleId="PlainTextChar">
    <w:name w:val="Plain Text Char"/>
    <w:basedOn w:val="DefaultParagraphFont"/>
    <w:link w:val="PlainText"/>
    <w:uiPriority w:val="99"/>
    <w:rsid w:val="002524DF"/>
    <w:rPr>
      <w:rFonts w:ascii="Calibri" w:hAnsi="Calibri"/>
      <w:szCs w:val="21"/>
    </w:rPr>
  </w:style>
  <w:style w:type="table" w:styleId="TableGrid">
    <w:name w:val="Table Grid"/>
    <w:basedOn w:val="TableNormal"/>
    <w:uiPriority w:val="39"/>
    <w:rsid w:val="0092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3414"/>
    <w:rPr>
      <w:sz w:val="16"/>
      <w:szCs w:val="16"/>
    </w:rPr>
  </w:style>
  <w:style w:type="paragraph" w:styleId="CommentText">
    <w:name w:val="annotation text"/>
    <w:basedOn w:val="Normal"/>
    <w:link w:val="CommentTextChar"/>
    <w:uiPriority w:val="99"/>
    <w:semiHidden/>
    <w:unhideWhenUsed/>
    <w:rsid w:val="00CF3414"/>
    <w:rPr>
      <w:sz w:val="20"/>
      <w:szCs w:val="20"/>
    </w:rPr>
  </w:style>
  <w:style w:type="character" w:customStyle="1" w:styleId="CommentTextChar">
    <w:name w:val="Comment Text Char"/>
    <w:basedOn w:val="DefaultParagraphFont"/>
    <w:link w:val="CommentText"/>
    <w:uiPriority w:val="99"/>
    <w:semiHidden/>
    <w:rsid w:val="00CF3414"/>
    <w:rPr>
      <w:sz w:val="20"/>
      <w:szCs w:val="20"/>
    </w:rPr>
  </w:style>
  <w:style w:type="paragraph" w:styleId="CommentSubject">
    <w:name w:val="annotation subject"/>
    <w:basedOn w:val="CommentText"/>
    <w:next w:val="CommentText"/>
    <w:link w:val="CommentSubjectChar"/>
    <w:uiPriority w:val="99"/>
    <w:semiHidden/>
    <w:unhideWhenUsed/>
    <w:rsid w:val="00CF3414"/>
    <w:rPr>
      <w:b/>
      <w:bCs/>
    </w:rPr>
  </w:style>
  <w:style w:type="character" w:customStyle="1" w:styleId="CommentSubjectChar">
    <w:name w:val="Comment Subject Char"/>
    <w:basedOn w:val="CommentTextChar"/>
    <w:link w:val="CommentSubject"/>
    <w:uiPriority w:val="99"/>
    <w:semiHidden/>
    <w:rsid w:val="00CF3414"/>
    <w:rPr>
      <w:b/>
      <w:bCs/>
      <w:sz w:val="20"/>
      <w:szCs w:val="20"/>
    </w:rPr>
  </w:style>
  <w:style w:type="paragraph" w:styleId="BalloonText">
    <w:name w:val="Balloon Text"/>
    <w:basedOn w:val="Normal"/>
    <w:link w:val="BalloonTextChar"/>
    <w:uiPriority w:val="99"/>
    <w:semiHidden/>
    <w:unhideWhenUsed/>
    <w:rsid w:val="00CF34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414"/>
    <w:rPr>
      <w:rFonts w:ascii="Segoe UI" w:hAnsi="Segoe UI" w:cs="Segoe UI"/>
      <w:sz w:val="18"/>
      <w:szCs w:val="18"/>
    </w:rPr>
  </w:style>
  <w:style w:type="paragraph" w:styleId="Caption">
    <w:name w:val="caption"/>
    <w:basedOn w:val="Normal"/>
    <w:next w:val="Normal"/>
    <w:uiPriority w:val="35"/>
    <w:unhideWhenUsed/>
    <w:qFormat/>
    <w:rsid w:val="00803D8D"/>
    <w:pPr>
      <w:spacing w:after="200"/>
    </w:pPr>
    <w:rPr>
      <w:i/>
      <w:iCs/>
      <w:color w:val="44546A" w:themeColor="text2"/>
      <w:sz w:val="22"/>
      <w:szCs w:val="18"/>
    </w:rPr>
  </w:style>
  <w:style w:type="paragraph" w:customStyle="1" w:styleId="TableParagraph">
    <w:name w:val="Table Paragraph"/>
    <w:basedOn w:val="Normal"/>
    <w:uiPriority w:val="1"/>
    <w:qFormat/>
    <w:rsid w:val="00F03855"/>
    <w:pPr>
      <w:autoSpaceDE w:val="0"/>
      <w:autoSpaceDN w:val="0"/>
      <w:adjustRightInd w:val="0"/>
      <w:spacing w:after="0"/>
    </w:pPr>
    <w:rPr>
      <w:rFonts w:ascii="Times New Roman" w:hAnsi="Times New Roman" w:cs="Times New Roman"/>
      <w:szCs w:val="24"/>
    </w:rPr>
  </w:style>
  <w:style w:type="character" w:customStyle="1" w:styleId="Heading1Char">
    <w:name w:val="Heading 1 Char"/>
    <w:basedOn w:val="DefaultParagraphFont"/>
    <w:link w:val="Heading1"/>
    <w:uiPriority w:val="9"/>
    <w:rsid w:val="001626A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92D85"/>
    <w:pPr>
      <w:tabs>
        <w:tab w:val="center" w:pos="4513"/>
        <w:tab w:val="right" w:pos="9026"/>
      </w:tabs>
      <w:spacing w:after="0"/>
    </w:pPr>
  </w:style>
  <w:style w:type="character" w:customStyle="1" w:styleId="HeaderChar">
    <w:name w:val="Header Char"/>
    <w:basedOn w:val="DefaultParagraphFont"/>
    <w:link w:val="Header"/>
    <w:uiPriority w:val="99"/>
    <w:rsid w:val="00692D85"/>
    <w:rPr>
      <w:sz w:val="24"/>
    </w:rPr>
  </w:style>
  <w:style w:type="paragraph" w:styleId="Footer">
    <w:name w:val="footer"/>
    <w:basedOn w:val="Normal"/>
    <w:link w:val="FooterChar"/>
    <w:uiPriority w:val="99"/>
    <w:unhideWhenUsed/>
    <w:rsid w:val="00692D85"/>
    <w:pPr>
      <w:tabs>
        <w:tab w:val="center" w:pos="4513"/>
        <w:tab w:val="right" w:pos="9026"/>
      </w:tabs>
      <w:spacing w:after="0"/>
    </w:pPr>
  </w:style>
  <w:style w:type="character" w:customStyle="1" w:styleId="FooterChar">
    <w:name w:val="Footer Char"/>
    <w:basedOn w:val="DefaultParagraphFont"/>
    <w:link w:val="Footer"/>
    <w:uiPriority w:val="99"/>
    <w:rsid w:val="00692D85"/>
    <w:rPr>
      <w:sz w:val="24"/>
    </w:rPr>
  </w:style>
  <w:style w:type="character" w:customStyle="1" w:styleId="Heading2Char">
    <w:name w:val="Heading 2 Char"/>
    <w:basedOn w:val="DefaultParagraphFont"/>
    <w:link w:val="Heading2"/>
    <w:uiPriority w:val="9"/>
    <w:rsid w:val="00AD437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C67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247F5"/>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B247F5"/>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B247F5"/>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B247F5"/>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B247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47F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CC77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47863">
      <w:bodyDiv w:val="1"/>
      <w:marLeft w:val="0"/>
      <w:marRight w:val="0"/>
      <w:marTop w:val="0"/>
      <w:marBottom w:val="0"/>
      <w:divBdr>
        <w:top w:val="none" w:sz="0" w:space="0" w:color="auto"/>
        <w:left w:val="none" w:sz="0" w:space="0" w:color="auto"/>
        <w:bottom w:val="none" w:sz="0" w:space="0" w:color="auto"/>
        <w:right w:val="none" w:sz="0" w:space="0" w:color="auto"/>
      </w:divBdr>
    </w:div>
    <w:div w:id="379399604">
      <w:bodyDiv w:val="1"/>
      <w:marLeft w:val="0"/>
      <w:marRight w:val="0"/>
      <w:marTop w:val="0"/>
      <w:marBottom w:val="0"/>
      <w:divBdr>
        <w:top w:val="none" w:sz="0" w:space="0" w:color="auto"/>
        <w:left w:val="none" w:sz="0" w:space="0" w:color="auto"/>
        <w:bottom w:val="none" w:sz="0" w:space="0" w:color="auto"/>
        <w:right w:val="none" w:sz="0" w:space="0" w:color="auto"/>
      </w:divBdr>
    </w:div>
    <w:div w:id="427117546">
      <w:bodyDiv w:val="1"/>
      <w:marLeft w:val="0"/>
      <w:marRight w:val="0"/>
      <w:marTop w:val="0"/>
      <w:marBottom w:val="0"/>
      <w:divBdr>
        <w:top w:val="none" w:sz="0" w:space="0" w:color="auto"/>
        <w:left w:val="none" w:sz="0" w:space="0" w:color="auto"/>
        <w:bottom w:val="none" w:sz="0" w:space="0" w:color="auto"/>
        <w:right w:val="none" w:sz="0" w:space="0" w:color="auto"/>
      </w:divBdr>
    </w:div>
    <w:div w:id="728309221">
      <w:bodyDiv w:val="1"/>
      <w:marLeft w:val="0"/>
      <w:marRight w:val="0"/>
      <w:marTop w:val="0"/>
      <w:marBottom w:val="0"/>
      <w:divBdr>
        <w:top w:val="none" w:sz="0" w:space="0" w:color="auto"/>
        <w:left w:val="none" w:sz="0" w:space="0" w:color="auto"/>
        <w:bottom w:val="none" w:sz="0" w:space="0" w:color="auto"/>
        <w:right w:val="none" w:sz="0" w:space="0" w:color="auto"/>
      </w:divBdr>
    </w:div>
    <w:div w:id="989793040">
      <w:bodyDiv w:val="1"/>
      <w:marLeft w:val="0"/>
      <w:marRight w:val="0"/>
      <w:marTop w:val="0"/>
      <w:marBottom w:val="0"/>
      <w:divBdr>
        <w:top w:val="none" w:sz="0" w:space="0" w:color="auto"/>
        <w:left w:val="none" w:sz="0" w:space="0" w:color="auto"/>
        <w:bottom w:val="none" w:sz="0" w:space="0" w:color="auto"/>
        <w:right w:val="none" w:sz="0" w:space="0" w:color="auto"/>
      </w:divBdr>
    </w:div>
    <w:div w:id="1108935060">
      <w:bodyDiv w:val="1"/>
      <w:marLeft w:val="0"/>
      <w:marRight w:val="0"/>
      <w:marTop w:val="0"/>
      <w:marBottom w:val="0"/>
      <w:divBdr>
        <w:top w:val="none" w:sz="0" w:space="0" w:color="auto"/>
        <w:left w:val="none" w:sz="0" w:space="0" w:color="auto"/>
        <w:bottom w:val="none" w:sz="0" w:space="0" w:color="auto"/>
        <w:right w:val="none" w:sz="0" w:space="0" w:color="auto"/>
      </w:divBdr>
    </w:div>
    <w:div w:id="1201013157">
      <w:bodyDiv w:val="1"/>
      <w:marLeft w:val="0"/>
      <w:marRight w:val="0"/>
      <w:marTop w:val="0"/>
      <w:marBottom w:val="0"/>
      <w:divBdr>
        <w:top w:val="none" w:sz="0" w:space="0" w:color="auto"/>
        <w:left w:val="none" w:sz="0" w:space="0" w:color="auto"/>
        <w:bottom w:val="none" w:sz="0" w:space="0" w:color="auto"/>
        <w:right w:val="none" w:sz="0" w:space="0" w:color="auto"/>
      </w:divBdr>
    </w:div>
    <w:div w:id="1238709800">
      <w:bodyDiv w:val="1"/>
      <w:marLeft w:val="0"/>
      <w:marRight w:val="0"/>
      <w:marTop w:val="0"/>
      <w:marBottom w:val="0"/>
      <w:divBdr>
        <w:top w:val="none" w:sz="0" w:space="0" w:color="auto"/>
        <w:left w:val="none" w:sz="0" w:space="0" w:color="auto"/>
        <w:bottom w:val="none" w:sz="0" w:space="0" w:color="auto"/>
        <w:right w:val="none" w:sz="0" w:space="0" w:color="auto"/>
      </w:divBdr>
    </w:div>
    <w:div w:id="1290666814">
      <w:bodyDiv w:val="1"/>
      <w:marLeft w:val="0"/>
      <w:marRight w:val="0"/>
      <w:marTop w:val="0"/>
      <w:marBottom w:val="0"/>
      <w:divBdr>
        <w:top w:val="none" w:sz="0" w:space="0" w:color="auto"/>
        <w:left w:val="none" w:sz="0" w:space="0" w:color="auto"/>
        <w:bottom w:val="none" w:sz="0" w:space="0" w:color="auto"/>
        <w:right w:val="none" w:sz="0" w:space="0" w:color="auto"/>
      </w:divBdr>
    </w:div>
    <w:div w:id="1373770174">
      <w:bodyDiv w:val="1"/>
      <w:marLeft w:val="0"/>
      <w:marRight w:val="0"/>
      <w:marTop w:val="0"/>
      <w:marBottom w:val="0"/>
      <w:divBdr>
        <w:top w:val="none" w:sz="0" w:space="0" w:color="auto"/>
        <w:left w:val="none" w:sz="0" w:space="0" w:color="auto"/>
        <w:bottom w:val="none" w:sz="0" w:space="0" w:color="auto"/>
        <w:right w:val="none" w:sz="0" w:space="0" w:color="auto"/>
      </w:divBdr>
    </w:div>
    <w:div w:id="1396321822">
      <w:bodyDiv w:val="1"/>
      <w:marLeft w:val="0"/>
      <w:marRight w:val="0"/>
      <w:marTop w:val="0"/>
      <w:marBottom w:val="0"/>
      <w:divBdr>
        <w:top w:val="none" w:sz="0" w:space="0" w:color="auto"/>
        <w:left w:val="none" w:sz="0" w:space="0" w:color="auto"/>
        <w:bottom w:val="none" w:sz="0" w:space="0" w:color="auto"/>
        <w:right w:val="none" w:sz="0" w:space="0" w:color="auto"/>
      </w:divBdr>
    </w:div>
    <w:div w:id="1412040933">
      <w:bodyDiv w:val="1"/>
      <w:marLeft w:val="0"/>
      <w:marRight w:val="0"/>
      <w:marTop w:val="0"/>
      <w:marBottom w:val="0"/>
      <w:divBdr>
        <w:top w:val="none" w:sz="0" w:space="0" w:color="auto"/>
        <w:left w:val="none" w:sz="0" w:space="0" w:color="auto"/>
        <w:bottom w:val="none" w:sz="0" w:space="0" w:color="auto"/>
        <w:right w:val="none" w:sz="0" w:space="0" w:color="auto"/>
      </w:divBdr>
    </w:div>
    <w:div w:id="1734619652">
      <w:bodyDiv w:val="1"/>
      <w:marLeft w:val="0"/>
      <w:marRight w:val="0"/>
      <w:marTop w:val="0"/>
      <w:marBottom w:val="0"/>
      <w:divBdr>
        <w:top w:val="none" w:sz="0" w:space="0" w:color="auto"/>
        <w:left w:val="none" w:sz="0" w:space="0" w:color="auto"/>
        <w:bottom w:val="none" w:sz="0" w:space="0" w:color="auto"/>
        <w:right w:val="none" w:sz="0" w:space="0" w:color="auto"/>
      </w:divBdr>
    </w:div>
    <w:div w:id="1866401393">
      <w:bodyDiv w:val="1"/>
      <w:marLeft w:val="0"/>
      <w:marRight w:val="0"/>
      <w:marTop w:val="0"/>
      <w:marBottom w:val="0"/>
      <w:divBdr>
        <w:top w:val="none" w:sz="0" w:space="0" w:color="auto"/>
        <w:left w:val="none" w:sz="0" w:space="0" w:color="auto"/>
        <w:bottom w:val="none" w:sz="0" w:space="0" w:color="auto"/>
        <w:right w:val="none" w:sz="0" w:space="0" w:color="auto"/>
      </w:divBdr>
    </w:div>
    <w:div w:id="2122144517">
      <w:bodyDiv w:val="1"/>
      <w:marLeft w:val="0"/>
      <w:marRight w:val="0"/>
      <w:marTop w:val="0"/>
      <w:marBottom w:val="0"/>
      <w:divBdr>
        <w:top w:val="none" w:sz="0" w:space="0" w:color="auto"/>
        <w:left w:val="none" w:sz="0" w:space="0" w:color="auto"/>
        <w:bottom w:val="none" w:sz="0" w:space="0" w:color="auto"/>
        <w:right w:val="none" w:sz="0" w:space="0" w:color="auto"/>
      </w:divBdr>
    </w:div>
    <w:div w:id="2135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ncer.fi/@Bin/119520903/Elossaololuvut_koko_maa_2012-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64664322620049"/>
          <c:y val="3.3828286928051517E-2"/>
          <c:w val="0.54069727133164958"/>
          <c:h val="0.84882456725311184"/>
        </c:manualLayout>
      </c:layout>
      <c:barChart>
        <c:barDir val="col"/>
        <c:grouping val="stacked"/>
        <c:varyColors val="0"/>
        <c:ser>
          <c:idx val="0"/>
          <c:order val="0"/>
          <c:tx>
            <c:strRef>
              <c:f>Sheet1!$A$2</c:f>
              <c:strCache>
                <c:ptCount val="1"/>
                <c:pt idx="0">
                  <c:v>ESH-vuodeosasto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2009</c:v>
                </c:pt>
                <c:pt idx="1">
                  <c:v>2010</c:v>
                </c:pt>
                <c:pt idx="2">
                  <c:v>2011</c:v>
                </c:pt>
                <c:pt idx="3">
                  <c:v>2012</c:v>
                </c:pt>
                <c:pt idx="4">
                  <c:v>2013</c:v>
                </c:pt>
                <c:pt idx="5">
                  <c:v>2014</c:v>
                </c:pt>
              </c:strCache>
            </c:strRef>
          </c:cat>
          <c:val>
            <c:numRef>
              <c:f>Sheet1!$B$2:$G$2</c:f>
              <c:numCache>
                <c:formatCode>0</c:formatCode>
                <c:ptCount val="6"/>
                <c:pt idx="0">
                  <c:v>204.98700357799999</c:v>
                </c:pt>
                <c:pt idx="1">
                  <c:v>206.91864811599999</c:v>
                </c:pt>
                <c:pt idx="2">
                  <c:v>211.42750000000001</c:v>
                </c:pt>
                <c:pt idx="3">
                  <c:v>213.13666008600001</c:v>
                </c:pt>
                <c:pt idx="4">
                  <c:v>203.681308917</c:v>
                </c:pt>
                <c:pt idx="5">
                  <c:v>201.99532438799997</c:v>
                </c:pt>
              </c:numCache>
            </c:numRef>
          </c:val>
          <c:extLst>
            <c:ext xmlns:c16="http://schemas.microsoft.com/office/drawing/2014/chart" uri="{C3380CC4-5D6E-409C-BE32-E72D297353CC}">
              <c16:uniqueId val="{00000000-EBDA-4CE3-871A-AC579664AD48}"/>
            </c:ext>
          </c:extLst>
        </c:ser>
        <c:ser>
          <c:idx val="1"/>
          <c:order val="1"/>
          <c:tx>
            <c:strRef>
              <c:f>Sheet1!$A$3</c:f>
              <c:strCache>
                <c:ptCount val="1"/>
                <c:pt idx="0">
                  <c:v>ESH-käynnit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2009</c:v>
                </c:pt>
                <c:pt idx="1">
                  <c:v>2010</c:v>
                </c:pt>
                <c:pt idx="2">
                  <c:v>2011</c:v>
                </c:pt>
                <c:pt idx="3">
                  <c:v>2012</c:v>
                </c:pt>
                <c:pt idx="4">
                  <c:v>2013</c:v>
                </c:pt>
                <c:pt idx="5">
                  <c:v>2014</c:v>
                </c:pt>
              </c:strCache>
            </c:strRef>
          </c:cat>
          <c:val>
            <c:numRef>
              <c:f>Sheet1!$B$3:$G$3</c:f>
              <c:numCache>
                <c:formatCode>0</c:formatCode>
                <c:ptCount val="6"/>
                <c:pt idx="0">
                  <c:v>194.67448200000001</c:v>
                </c:pt>
                <c:pt idx="1">
                  <c:v>219.1613332664044</c:v>
                </c:pt>
                <c:pt idx="2">
                  <c:v>223.18975140000001</c:v>
                </c:pt>
                <c:pt idx="3">
                  <c:v>236.31770461158615</c:v>
                </c:pt>
                <c:pt idx="4">
                  <c:v>258.769206</c:v>
                </c:pt>
                <c:pt idx="5">
                  <c:v>283.10968075106166</c:v>
                </c:pt>
              </c:numCache>
            </c:numRef>
          </c:val>
          <c:extLst>
            <c:ext xmlns:c16="http://schemas.microsoft.com/office/drawing/2014/chart" uri="{C3380CC4-5D6E-409C-BE32-E72D297353CC}">
              <c16:uniqueId val="{00000001-EBDA-4CE3-871A-AC579664AD48}"/>
            </c:ext>
          </c:extLst>
        </c:ser>
        <c:ser>
          <c:idx val="2"/>
          <c:order val="2"/>
          <c:tx>
            <c:strRef>
              <c:f>Sheet1!$A$4</c:f>
              <c:strCache>
                <c:ptCount val="1"/>
                <c:pt idx="0">
                  <c:v>PTH, yksityiset, säätiöt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2009</c:v>
                </c:pt>
                <c:pt idx="1">
                  <c:v>2010</c:v>
                </c:pt>
                <c:pt idx="2">
                  <c:v>2011</c:v>
                </c:pt>
                <c:pt idx="3">
                  <c:v>2012</c:v>
                </c:pt>
                <c:pt idx="4">
                  <c:v>2013</c:v>
                </c:pt>
                <c:pt idx="5">
                  <c:v>2014</c:v>
                </c:pt>
              </c:strCache>
            </c:strRef>
          </c:cat>
          <c:val>
            <c:numRef>
              <c:f>Sheet1!$B$4:$G$4</c:f>
              <c:numCache>
                <c:formatCode>0</c:formatCode>
                <c:ptCount val="6"/>
                <c:pt idx="0">
                  <c:v>78.231773269400009</c:v>
                </c:pt>
                <c:pt idx="1">
                  <c:v>87.917444349500002</c:v>
                </c:pt>
                <c:pt idx="2">
                  <c:v>92.992500000000007</c:v>
                </c:pt>
                <c:pt idx="3">
                  <c:v>93.713104364799989</c:v>
                </c:pt>
                <c:pt idx="4">
                  <c:v>87.622142243400006</c:v>
                </c:pt>
                <c:pt idx="5">
                  <c:v>87</c:v>
                </c:pt>
              </c:numCache>
            </c:numRef>
          </c:val>
          <c:extLst>
            <c:ext xmlns:c16="http://schemas.microsoft.com/office/drawing/2014/chart" uri="{C3380CC4-5D6E-409C-BE32-E72D297353CC}">
              <c16:uniqueId val="{00000002-EBDA-4CE3-871A-AC579664AD48}"/>
            </c:ext>
          </c:extLst>
        </c:ser>
        <c:ser>
          <c:idx val="3"/>
          <c:order val="3"/>
          <c:tx>
            <c:strRef>
              <c:f>Sheet1!$A$5</c:f>
              <c:strCache>
                <c:ptCount val="1"/>
                <c:pt idx="0">
                  <c:v>Kuntoutus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2009</c:v>
                </c:pt>
                <c:pt idx="1">
                  <c:v>2010</c:v>
                </c:pt>
                <c:pt idx="2">
                  <c:v>2011</c:v>
                </c:pt>
                <c:pt idx="3">
                  <c:v>2012</c:v>
                </c:pt>
                <c:pt idx="4">
                  <c:v>2013</c:v>
                </c:pt>
                <c:pt idx="5">
                  <c:v>2014</c:v>
                </c:pt>
              </c:strCache>
            </c:strRef>
          </c:cat>
          <c:val>
            <c:numRef>
              <c:f>Sheet1!$B$5:$G$5</c:f>
              <c:numCache>
                <c:formatCode>0</c:formatCode>
                <c:ptCount val="6"/>
                <c:pt idx="0">
                  <c:v>3.7690000000000001</c:v>
                </c:pt>
                <c:pt idx="1">
                  <c:v>3.702</c:v>
                </c:pt>
                <c:pt idx="2">
                  <c:v>3.988</c:v>
                </c:pt>
                <c:pt idx="3">
                  <c:v>3.9870000000000001</c:v>
                </c:pt>
                <c:pt idx="4">
                  <c:v>4.0780446848190977</c:v>
                </c:pt>
                <c:pt idx="5">
                  <c:v>4.1638256620663929</c:v>
                </c:pt>
              </c:numCache>
            </c:numRef>
          </c:val>
          <c:extLst>
            <c:ext xmlns:c16="http://schemas.microsoft.com/office/drawing/2014/chart" uri="{C3380CC4-5D6E-409C-BE32-E72D297353CC}">
              <c16:uniqueId val="{00000003-EBDA-4CE3-871A-AC579664AD48}"/>
            </c:ext>
          </c:extLst>
        </c:ser>
        <c:ser>
          <c:idx val="4"/>
          <c:order val="4"/>
          <c:tx>
            <c:strRef>
              <c:f>Sheet1!$A$6</c:f>
              <c:strCache>
                <c:ptCount val="1"/>
                <c:pt idx="0">
                  <c:v>Erityiskorvatut lääkkeet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2009</c:v>
                </c:pt>
                <c:pt idx="1">
                  <c:v>2010</c:v>
                </c:pt>
                <c:pt idx="2">
                  <c:v>2011</c:v>
                </c:pt>
                <c:pt idx="3">
                  <c:v>2012</c:v>
                </c:pt>
                <c:pt idx="4">
                  <c:v>2013</c:v>
                </c:pt>
                <c:pt idx="5">
                  <c:v>2014</c:v>
                </c:pt>
              </c:strCache>
            </c:strRef>
          </c:cat>
          <c:val>
            <c:numRef>
              <c:f>Sheet1!$B$6:$G$6</c:f>
              <c:numCache>
                <c:formatCode>0</c:formatCode>
                <c:ptCount val="6"/>
                <c:pt idx="0">
                  <c:v>119</c:v>
                </c:pt>
                <c:pt idx="1">
                  <c:v>123</c:v>
                </c:pt>
                <c:pt idx="2">
                  <c:v>135</c:v>
                </c:pt>
                <c:pt idx="3">
                  <c:v>142</c:v>
                </c:pt>
                <c:pt idx="4">
                  <c:v>158</c:v>
                </c:pt>
                <c:pt idx="5">
                  <c:v>160</c:v>
                </c:pt>
              </c:numCache>
            </c:numRef>
          </c:val>
          <c:extLst>
            <c:ext xmlns:c16="http://schemas.microsoft.com/office/drawing/2014/chart" uri="{C3380CC4-5D6E-409C-BE32-E72D297353CC}">
              <c16:uniqueId val="{00000004-EBDA-4CE3-871A-AC579664AD48}"/>
            </c:ext>
          </c:extLst>
        </c:ser>
        <c:ser>
          <c:idx val="5"/>
          <c:order val="5"/>
          <c:tx>
            <c:strRef>
              <c:f>Sheet1!$A$7</c:f>
              <c:strCache>
                <c:ptCount val="1"/>
                <c:pt idx="0">
                  <c:v>Eläke</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2009</c:v>
                </c:pt>
                <c:pt idx="1">
                  <c:v>2010</c:v>
                </c:pt>
                <c:pt idx="2">
                  <c:v>2011</c:v>
                </c:pt>
                <c:pt idx="3">
                  <c:v>2012</c:v>
                </c:pt>
                <c:pt idx="4">
                  <c:v>2013</c:v>
                </c:pt>
                <c:pt idx="5">
                  <c:v>2014</c:v>
                </c:pt>
              </c:strCache>
            </c:strRef>
          </c:cat>
          <c:val>
            <c:numRef>
              <c:f>Sheet1!$B$7:$G$7</c:f>
              <c:numCache>
                <c:formatCode>0</c:formatCode>
                <c:ptCount val="6"/>
                <c:pt idx="0">
                  <c:v>79.400000000000006</c:v>
                </c:pt>
                <c:pt idx="1">
                  <c:v>79.2</c:v>
                </c:pt>
                <c:pt idx="2">
                  <c:v>77</c:v>
                </c:pt>
                <c:pt idx="3">
                  <c:v>78.099999999999994</c:v>
                </c:pt>
                <c:pt idx="4">
                  <c:v>77.5</c:v>
                </c:pt>
                <c:pt idx="5">
                  <c:v>76</c:v>
                </c:pt>
              </c:numCache>
            </c:numRef>
          </c:val>
          <c:extLst>
            <c:ext xmlns:c16="http://schemas.microsoft.com/office/drawing/2014/chart" uri="{C3380CC4-5D6E-409C-BE32-E72D297353CC}">
              <c16:uniqueId val="{00000005-EBDA-4CE3-871A-AC579664AD48}"/>
            </c:ext>
          </c:extLst>
        </c:ser>
        <c:ser>
          <c:idx val="6"/>
          <c:order val="6"/>
          <c:tx>
            <c:strRef>
              <c:f>Sheet1!$A$8</c:f>
              <c:strCache>
                <c:ptCount val="1"/>
                <c:pt idx="0">
                  <c:v>Sairauspäiväraha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2009</c:v>
                </c:pt>
                <c:pt idx="1">
                  <c:v>2010</c:v>
                </c:pt>
                <c:pt idx="2">
                  <c:v>2011</c:v>
                </c:pt>
                <c:pt idx="3">
                  <c:v>2012</c:v>
                </c:pt>
                <c:pt idx="4">
                  <c:v>2013</c:v>
                </c:pt>
                <c:pt idx="5">
                  <c:v>2014</c:v>
                </c:pt>
              </c:strCache>
            </c:strRef>
          </c:cat>
          <c:val>
            <c:numRef>
              <c:f>Sheet1!$B$8:$G$8</c:f>
              <c:numCache>
                <c:formatCode>0</c:formatCode>
                <c:ptCount val="6"/>
                <c:pt idx="0">
                  <c:v>50.938369999999999</c:v>
                </c:pt>
                <c:pt idx="1">
                  <c:v>53.910347999999999</c:v>
                </c:pt>
                <c:pt idx="2">
                  <c:v>57.678868000000001</c:v>
                </c:pt>
                <c:pt idx="3">
                  <c:v>57.157088000000002</c:v>
                </c:pt>
                <c:pt idx="4">
                  <c:v>57.421481999999997</c:v>
                </c:pt>
                <c:pt idx="5">
                  <c:v>58.102366000000004</c:v>
                </c:pt>
              </c:numCache>
            </c:numRef>
          </c:val>
          <c:extLst>
            <c:ext xmlns:c16="http://schemas.microsoft.com/office/drawing/2014/chart" uri="{C3380CC4-5D6E-409C-BE32-E72D297353CC}">
              <c16:uniqueId val="{00000006-EBDA-4CE3-871A-AC579664AD48}"/>
            </c:ext>
          </c:extLst>
        </c:ser>
        <c:ser>
          <c:idx val="7"/>
          <c:order val="7"/>
          <c:tx>
            <c:strRef>
              <c:f>Sheet1!$A$9</c:f>
              <c:strCache>
                <c:ptCount val="1"/>
                <c:pt idx="0">
                  <c:v>Seulonta</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2009</c:v>
                </c:pt>
                <c:pt idx="1">
                  <c:v>2010</c:v>
                </c:pt>
                <c:pt idx="2">
                  <c:v>2011</c:v>
                </c:pt>
                <c:pt idx="3">
                  <c:v>2012</c:v>
                </c:pt>
                <c:pt idx="4">
                  <c:v>2013</c:v>
                </c:pt>
                <c:pt idx="5">
                  <c:v>2014</c:v>
                </c:pt>
              </c:strCache>
            </c:strRef>
          </c:cat>
          <c:val>
            <c:numRef>
              <c:f>Sheet1!$B$9:$G$9</c:f>
              <c:numCache>
                <c:formatCode>0</c:formatCode>
                <c:ptCount val="6"/>
                <c:pt idx="0">
                  <c:v>35.013804</c:v>
                </c:pt>
                <c:pt idx="1">
                  <c:v>34.505986</c:v>
                </c:pt>
                <c:pt idx="2">
                  <c:v>36.978487999999999</c:v>
                </c:pt>
                <c:pt idx="3">
                  <c:v>36.807823999999997</c:v>
                </c:pt>
                <c:pt idx="4">
                  <c:v>32.915999999999997</c:v>
                </c:pt>
                <c:pt idx="5">
                  <c:v>38.796232000000003</c:v>
                </c:pt>
              </c:numCache>
            </c:numRef>
          </c:val>
          <c:extLst>
            <c:ext xmlns:c16="http://schemas.microsoft.com/office/drawing/2014/chart" uri="{C3380CC4-5D6E-409C-BE32-E72D297353CC}">
              <c16:uniqueId val="{00000007-EBDA-4CE3-871A-AC579664AD48}"/>
            </c:ext>
          </c:extLst>
        </c:ser>
        <c:ser>
          <c:idx val="8"/>
          <c:order val="8"/>
          <c:tx>
            <c:strRef>
              <c:f>Sheet1!$A$10</c:f>
              <c:strCache>
                <c:ptCount val="1"/>
                <c:pt idx="0">
                  <c:v>Matkakustannukset</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lumMod val="50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2009</c:v>
                </c:pt>
                <c:pt idx="1">
                  <c:v>2010</c:v>
                </c:pt>
                <c:pt idx="2">
                  <c:v>2011</c:v>
                </c:pt>
                <c:pt idx="3">
                  <c:v>2012</c:v>
                </c:pt>
                <c:pt idx="4">
                  <c:v>2013</c:v>
                </c:pt>
                <c:pt idx="5">
                  <c:v>2014</c:v>
                </c:pt>
              </c:strCache>
            </c:strRef>
          </c:cat>
          <c:val>
            <c:numRef>
              <c:f>Sheet1!$B$10:$G$10</c:f>
              <c:numCache>
                <c:formatCode>0</c:formatCode>
                <c:ptCount val="6"/>
                <c:pt idx="0">
                  <c:v>15.150869999999999</c:v>
                </c:pt>
                <c:pt idx="1">
                  <c:v>16.625665000000001</c:v>
                </c:pt>
                <c:pt idx="2">
                  <c:v>16.907656500000002</c:v>
                </c:pt>
                <c:pt idx="3">
                  <c:v>16.980642</c:v>
                </c:pt>
                <c:pt idx="4">
                  <c:v>17.827425000000002</c:v>
                </c:pt>
                <c:pt idx="5">
                  <c:v>17.499282150000003</c:v>
                </c:pt>
              </c:numCache>
            </c:numRef>
          </c:val>
          <c:extLst>
            <c:ext xmlns:c16="http://schemas.microsoft.com/office/drawing/2014/chart" uri="{C3380CC4-5D6E-409C-BE32-E72D297353CC}">
              <c16:uniqueId val="{00000008-EBDA-4CE3-871A-AC579664AD48}"/>
            </c:ext>
          </c:extLst>
        </c:ser>
        <c:dLbls>
          <c:showLegendKey val="0"/>
          <c:showVal val="0"/>
          <c:showCatName val="0"/>
          <c:showSerName val="0"/>
          <c:showPercent val="0"/>
          <c:showBubbleSize val="0"/>
        </c:dLbls>
        <c:gapWidth val="50"/>
        <c:overlap val="100"/>
        <c:axId val="-1002819504"/>
        <c:axId val="-1002815152"/>
      </c:barChart>
      <c:catAx>
        <c:axId val="-100281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fi-FI"/>
          </a:p>
        </c:txPr>
        <c:crossAx val="-1002815152"/>
        <c:crosses val="autoZero"/>
        <c:auto val="1"/>
        <c:lblAlgn val="ctr"/>
        <c:lblOffset val="100"/>
        <c:noMultiLvlLbl val="0"/>
      </c:catAx>
      <c:valAx>
        <c:axId val="-1002815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fi-FI"/>
                  <a:t>Miljoonaa euroa</a:t>
                </a:r>
              </a:p>
            </c:rich>
          </c:tx>
          <c:layout/>
          <c:overlay val="0"/>
          <c:spPr>
            <a:noFill/>
            <a:ln>
              <a:noFill/>
            </a:ln>
            <a:effectLst/>
          </c:spPr>
          <c:txPr>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endParaRPr lang="fi-FI"/>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fi-FI"/>
          </a:p>
        </c:txPr>
        <c:crossAx val="-100281950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noFill/>
      <a:round/>
    </a:ln>
    <a:effectLst/>
  </c:spPr>
  <c:txPr>
    <a:bodyPr/>
    <a:lstStyle/>
    <a:p>
      <a:pPr>
        <a:defRPr/>
      </a:pPr>
      <a:endParaRPr lang="fi-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64664322620049"/>
          <c:y val="3.3828286928051517E-2"/>
          <c:w val="0.54069727133164958"/>
          <c:h val="0.84882456725311184"/>
        </c:manualLayout>
      </c:layout>
      <c:barChart>
        <c:barDir val="col"/>
        <c:grouping val="stacked"/>
        <c:varyColors val="0"/>
        <c:ser>
          <c:idx val="0"/>
          <c:order val="0"/>
          <c:tx>
            <c:strRef>
              <c:f>Sheet1!$A$2</c:f>
              <c:strCache>
                <c:ptCount val="1"/>
                <c:pt idx="0">
                  <c:v>ESH-vuodeosasto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2009</c:v>
                </c:pt>
                <c:pt idx="1">
                  <c:v>2010</c:v>
                </c:pt>
                <c:pt idx="2">
                  <c:v>2011</c:v>
                </c:pt>
                <c:pt idx="3">
                  <c:v>2012</c:v>
                </c:pt>
                <c:pt idx="4">
                  <c:v>2013</c:v>
                </c:pt>
                <c:pt idx="5">
                  <c:v>2014</c:v>
                </c:pt>
              </c:strCache>
            </c:strRef>
          </c:cat>
          <c:val>
            <c:numRef>
              <c:f>Sheet1!$B$2:$G$2</c:f>
              <c:numCache>
                <c:formatCode>0</c:formatCode>
                <c:ptCount val="6"/>
                <c:pt idx="0">
                  <c:v>226</c:v>
                </c:pt>
                <c:pt idx="1">
                  <c:v>226</c:v>
                </c:pt>
                <c:pt idx="2">
                  <c:v>223</c:v>
                </c:pt>
                <c:pt idx="3">
                  <c:v>219</c:v>
                </c:pt>
                <c:pt idx="4">
                  <c:v>206</c:v>
                </c:pt>
                <c:pt idx="5">
                  <c:v>202</c:v>
                </c:pt>
              </c:numCache>
            </c:numRef>
          </c:val>
          <c:extLst>
            <c:ext xmlns:c16="http://schemas.microsoft.com/office/drawing/2014/chart" uri="{C3380CC4-5D6E-409C-BE32-E72D297353CC}">
              <c16:uniqueId val="{00000000-377D-4981-9929-30582B8CF020}"/>
            </c:ext>
          </c:extLst>
        </c:ser>
        <c:ser>
          <c:idx val="1"/>
          <c:order val="1"/>
          <c:tx>
            <c:strRef>
              <c:f>Sheet1!$A$3</c:f>
              <c:strCache>
                <c:ptCount val="1"/>
                <c:pt idx="0">
                  <c:v>ESH-käynnit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2009</c:v>
                </c:pt>
                <c:pt idx="1">
                  <c:v>2010</c:v>
                </c:pt>
                <c:pt idx="2">
                  <c:v>2011</c:v>
                </c:pt>
                <c:pt idx="3">
                  <c:v>2012</c:v>
                </c:pt>
                <c:pt idx="4">
                  <c:v>2013</c:v>
                </c:pt>
                <c:pt idx="5">
                  <c:v>2014</c:v>
                </c:pt>
              </c:strCache>
            </c:strRef>
          </c:cat>
          <c:val>
            <c:numRef>
              <c:f>Sheet1!$B$3:$G$3</c:f>
              <c:numCache>
                <c:formatCode>0</c:formatCode>
                <c:ptCount val="6"/>
                <c:pt idx="0">
                  <c:v>215</c:v>
                </c:pt>
                <c:pt idx="1">
                  <c:v>239</c:v>
                </c:pt>
                <c:pt idx="2">
                  <c:v>235</c:v>
                </c:pt>
                <c:pt idx="3">
                  <c:v>242</c:v>
                </c:pt>
                <c:pt idx="4">
                  <c:v>261</c:v>
                </c:pt>
                <c:pt idx="5">
                  <c:v>283</c:v>
                </c:pt>
              </c:numCache>
            </c:numRef>
          </c:val>
          <c:extLst>
            <c:ext xmlns:c16="http://schemas.microsoft.com/office/drawing/2014/chart" uri="{C3380CC4-5D6E-409C-BE32-E72D297353CC}">
              <c16:uniqueId val="{00000001-377D-4981-9929-30582B8CF020}"/>
            </c:ext>
          </c:extLst>
        </c:ser>
        <c:ser>
          <c:idx val="2"/>
          <c:order val="2"/>
          <c:tx>
            <c:strRef>
              <c:f>Sheet1!$A$4</c:f>
              <c:strCache>
                <c:ptCount val="1"/>
                <c:pt idx="0">
                  <c:v>PTH, yksityiset, säätiöt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2009</c:v>
                </c:pt>
                <c:pt idx="1">
                  <c:v>2010</c:v>
                </c:pt>
                <c:pt idx="2">
                  <c:v>2011</c:v>
                </c:pt>
                <c:pt idx="3">
                  <c:v>2012</c:v>
                </c:pt>
                <c:pt idx="4">
                  <c:v>2013</c:v>
                </c:pt>
                <c:pt idx="5">
                  <c:v>2014</c:v>
                </c:pt>
              </c:strCache>
            </c:strRef>
          </c:cat>
          <c:val>
            <c:numRef>
              <c:f>Sheet1!$B$4:$G$4</c:f>
              <c:numCache>
                <c:formatCode>0</c:formatCode>
                <c:ptCount val="6"/>
                <c:pt idx="0">
                  <c:v>86</c:v>
                </c:pt>
                <c:pt idx="1">
                  <c:v>96</c:v>
                </c:pt>
                <c:pt idx="2">
                  <c:v>98</c:v>
                </c:pt>
                <c:pt idx="3">
                  <c:v>96</c:v>
                </c:pt>
                <c:pt idx="4">
                  <c:v>89</c:v>
                </c:pt>
                <c:pt idx="5">
                  <c:v>87</c:v>
                </c:pt>
              </c:numCache>
            </c:numRef>
          </c:val>
          <c:extLst>
            <c:ext xmlns:c16="http://schemas.microsoft.com/office/drawing/2014/chart" uri="{C3380CC4-5D6E-409C-BE32-E72D297353CC}">
              <c16:uniqueId val="{00000002-377D-4981-9929-30582B8CF020}"/>
            </c:ext>
          </c:extLst>
        </c:ser>
        <c:ser>
          <c:idx val="3"/>
          <c:order val="3"/>
          <c:tx>
            <c:strRef>
              <c:f>Sheet1!$A$5</c:f>
              <c:strCache>
                <c:ptCount val="1"/>
                <c:pt idx="0">
                  <c:v>Kuntoutus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2009</c:v>
                </c:pt>
                <c:pt idx="1">
                  <c:v>2010</c:v>
                </c:pt>
                <c:pt idx="2">
                  <c:v>2011</c:v>
                </c:pt>
                <c:pt idx="3">
                  <c:v>2012</c:v>
                </c:pt>
                <c:pt idx="4">
                  <c:v>2013</c:v>
                </c:pt>
                <c:pt idx="5">
                  <c:v>2014</c:v>
                </c:pt>
              </c:strCache>
            </c:strRef>
          </c:cat>
          <c:val>
            <c:numRef>
              <c:f>Sheet1!$B$5:$G$5</c:f>
              <c:numCache>
                <c:formatCode>0</c:formatCode>
                <c:ptCount val="6"/>
                <c:pt idx="0">
                  <c:v>4</c:v>
                </c:pt>
                <c:pt idx="1">
                  <c:v>4</c:v>
                </c:pt>
                <c:pt idx="2">
                  <c:v>4</c:v>
                </c:pt>
                <c:pt idx="3">
                  <c:v>4</c:v>
                </c:pt>
                <c:pt idx="4">
                  <c:v>4</c:v>
                </c:pt>
                <c:pt idx="5">
                  <c:v>4</c:v>
                </c:pt>
              </c:numCache>
            </c:numRef>
          </c:val>
          <c:extLst>
            <c:ext xmlns:c16="http://schemas.microsoft.com/office/drawing/2014/chart" uri="{C3380CC4-5D6E-409C-BE32-E72D297353CC}">
              <c16:uniqueId val="{00000003-377D-4981-9929-30582B8CF020}"/>
            </c:ext>
          </c:extLst>
        </c:ser>
        <c:ser>
          <c:idx val="4"/>
          <c:order val="4"/>
          <c:tx>
            <c:strRef>
              <c:f>Sheet1!$A$6</c:f>
              <c:strCache>
                <c:ptCount val="1"/>
                <c:pt idx="0">
                  <c:v>Erityiskorvatut lääkkeet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2009</c:v>
                </c:pt>
                <c:pt idx="1">
                  <c:v>2010</c:v>
                </c:pt>
                <c:pt idx="2">
                  <c:v>2011</c:v>
                </c:pt>
                <c:pt idx="3">
                  <c:v>2012</c:v>
                </c:pt>
                <c:pt idx="4">
                  <c:v>2013</c:v>
                </c:pt>
                <c:pt idx="5">
                  <c:v>2014</c:v>
                </c:pt>
              </c:strCache>
            </c:strRef>
          </c:cat>
          <c:val>
            <c:numRef>
              <c:f>Sheet1!$B$6:$G$6</c:f>
              <c:numCache>
                <c:formatCode>0</c:formatCode>
                <c:ptCount val="6"/>
                <c:pt idx="0">
                  <c:v>131</c:v>
                </c:pt>
                <c:pt idx="1">
                  <c:v>134.14817178809153</c:v>
                </c:pt>
                <c:pt idx="2">
                  <c:v>142.31755684822846</c:v>
                </c:pt>
                <c:pt idx="3">
                  <c:v>145.60325760822974</c:v>
                </c:pt>
                <c:pt idx="4">
                  <c:v>159.65514910872687</c:v>
                </c:pt>
                <c:pt idx="5">
                  <c:v>160</c:v>
                </c:pt>
              </c:numCache>
            </c:numRef>
          </c:val>
          <c:extLst>
            <c:ext xmlns:c16="http://schemas.microsoft.com/office/drawing/2014/chart" uri="{C3380CC4-5D6E-409C-BE32-E72D297353CC}">
              <c16:uniqueId val="{00000004-377D-4981-9929-30582B8CF020}"/>
            </c:ext>
          </c:extLst>
        </c:ser>
        <c:ser>
          <c:idx val="5"/>
          <c:order val="5"/>
          <c:tx>
            <c:strRef>
              <c:f>Sheet1!$A$7</c:f>
              <c:strCache>
                <c:ptCount val="1"/>
                <c:pt idx="0">
                  <c:v>Eläke</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2009</c:v>
                </c:pt>
                <c:pt idx="1">
                  <c:v>2010</c:v>
                </c:pt>
                <c:pt idx="2">
                  <c:v>2011</c:v>
                </c:pt>
                <c:pt idx="3">
                  <c:v>2012</c:v>
                </c:pt>
                <c:pt idx="4">
                  <c:v>2013</c:v>
                </c:pt>
                <c:pt idx="5">
                  <c:v>2014</c:v>
                </c:pt>
              </c:strCache>
            </c:strRef>
          </c:cat>
          <c:val>
            <c:numRef>
              <c:f>Sheet1!$B$7:$G$7</c:f>
              <c:numCache>
                <c:formatCode>0</c:formatCode>
                <c:ptCount val="6"/>
                <c:pt idx="0">
                  <c:v>88</c:v>
                </c:pt>
                <c:pt idx="1">
                  <c:v>86</c:v>
                </c:pt>
                <c:pt idx="2">
                  <c:v>81</c:v>
                </c:pt>
                <c:pt idx="3">
                  <c:v>80</c:v>
                </c:pt>
                <c:pt idx="4">
                  <c:v>78</c:v>
                </c:pt>
                <c:pt idx="5">
                  <c:v>76</c:v>
                </c:pt>
              </c:numCache>
            </c:numRef>
          </c:val>
          <c:extLst>
            <c:ext xmlns:c16="http://schemas.microsoft.com/office/drawing/2014/chart" uri="{C3380CC4-5D6E-409C-BE32-E72D297353CC}">
              <c16:uniqueId val="{00000005-377D-4981-9929-30582B8CF020}"/>
            </c:ext>
          </c:extLst>
        </c:ser>
        <c:ser>
          <c:idx val="6"/>
          <c:order val="6"/>
          <c:tx>
            <c:strRef>
              <c:f>Sheet1!$A$8</c:f>
              <c:strCache>
                <c:ptCount val="1"/>
                <c:pt idx="0">
                  <c:v>Sairauspäiväraha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2009</c:v>
                </c:pt>
                <c:pt idx="1">
                  <c:v>2010</c:v>
                </c:pt>
                <c:pt idx="2">
                  <c:v>2011</c:v>
                </c:pt>
                <c:pt idx="3">
                  <c:v>2012</c:v>
                </c:pt>
                <c:pt idx="4">
                  <c:v>2013</c:v>
                </c:pt>
                <c:pt idx="5">
                  <c:v>2014</c:v>
                </c:pt>
              </c:strCache>
            </c:strRef>
          </c:cat>
          <c:val>
            <c:numRef>
              <c:f>Sheet1!$B$8:$G$8</c:f>
              <c:numCache>
                <c:formatCode>0</c:formatCode>
                <c:ptCount val="6"/>
                <c:pt idx="0">
                  <c:v>56</c:v>
                </c:pt>
                <c:pt idx="1">
                  <c:v>59</c:v>
                </c:pt>
                <c:pt idx="2">
                  <c:v>61</c:v>
                </c:pt>
                <c:pt idx="3">
                  <c:v>59</c:v>
                </c:pt>
                <c:pt idx="4">
                  <c:v>58</c:v>
                </c:pt>
                <c:pt idx="5">
                  <c:v>58</c:v>
                </c:pt>
              </c:numCache>
            </c:numRef>
          </c:val>
          <c:extLst>
            <c:ext xmlns:c16="http://schemas.microsoft.com/office/drawing/2014/chart" uri="{C3380CC4-5D6E-409C-BE32-E72D297353CC}">
              <c16:uniqueId val="{00000006-377D-4981-9929-30582B8CF020}"/>
            </c:ext>
          </c:extLst>
        </c:ser>
        <c:ser>
          <c:idx val="7"/>
          <c:order val="7"/>
          <c:tx>
            <c:strRef>
              <c:f>Sheet1!$A$9</c:f>
              <c:strCache>
                <c:ptCount val="1"/>
                <c:pt idx="0">
                  <c:v>Seulonta</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2009</c:v>
                </c:pt>
                <c:pt idx="1">
                  <c:v>2010</c:v>
                </c:pt>
                <c:pt idx="2">
                  <c:v>2011</c:v>
                </c:pt>
                <c:pt idx="3">
                  <c:v>2012</c:v>
                </c:pt>
                <c:pt idx="4">
                  <c:v>2013</c:v>
                </c:pt>
                <c:pt idx="5">
                  <c:v>2014</c:v>
                </c:pt>
              </c:strCache>
            </c:strRef>
          </c:cat>
          <c:val>
            <c:numRef>
              <c:f>Sheet1!$B$9:$G$9</c:f>
              <c:numCache>
                <c:formatCode>0</c:formatCode>
                <c:ptCount val="6"/>
                <c:pt idx="0">
                  <c:v>39</c:v>
                </c:pt>
                <c:pt idx="1">
                  <c:v>38</c:v>
                </c:pt>
                <c:pt idx="2">
                  <c:v>39</c:v>
                </c:pt>
                <c:pt idx="3">
                  <c:v>38</c:v>
                </c:pt>
                <c:pt idx="4">
                  <c:v>33</c:v>
                </c:pt>
                <c:pt idx="5">
                  <c:v>39</c:v>
                </c:pt>
              </c:numCache>
            </c:numRef>
          </c:val>
          <c:extLst>
            <c:ext xmlns:c16="http://schemas.microsoft.com/office/drawing/2014/chart" uri="{C3380CC4-5D6E-409C-BE32-E72D297353CC}">
              <c16:uniqueId val="{00000007-377D-4981-9929-30582B8CF020}"/>
            </c:ext>
          </c:extLst>
        </c:ser>
        <c:ser>
          <c:idx val="8"/>
          <c:order val="8"/>
          <c:tx>
            <c:strRef>
              <c:f>Sheet1!$A$10</c:f>
              <c:strCache>
                <c:ptCount val="1"/>
                <c:pt idx="0">
                  <c:v>Matkakustannukset</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lumMod val="50000"/>
                      </a:schemeClr>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2009</c:v>
                </c:pt>
                <c:pt idx="1">
                  <c:v>2010</c:v>
                </c:pt>
                <c:pt idx="2">
                  <c:v>2011</c:v>
                </c:pt>
                <c:pt idx="3">
                  <c:v>2012</c:v>
                </c:pt>
                <c:pt idx="4">
                  <c:v>2013</c:v>
                </c:pt>
                <c:pt idx="5">
                  <c:v>2014</c:v>
                </c:pt>
              </c:strCache>
            </c:strRef>
          </c:cat>
          <c:val>
            <c:numRef>
              <c:f>Sheet1!$B$10:$G$10</c:f>
              <c:numCache>
                <c:formatCode>0</c:formatCode>
                <c:ptCount val="6"/>
                <c:pt idx="0">
                  <c:v>17</c:v>
                </c:pt>
                <c:pt idx="1">
                  <c:v>18</c:v>
                </c:pt>
                <c:pt idx="2">
                  <c:v>18</c:v>
                </c:pt>
                <c:pt idx="3">
                  <c:v>17</c:v>
                </c:pt>
                <c:pt idx="4">
                  <c:v>18</c:v>
                </c:pt>
                <c:pt idx="5">
                  <c:v>17</c:v>
                </c:pt>
              </c:numCache>
            </c:numRef>
          </c:val>
          <c:extLst>
            <c:ext xmlns:c16="http://schemas.microsoft.com/office/drawing/2014/chart" uri="{C3380CC4-5D6E-409C-BE32-E72D297353CC}">
              <c16:uniqueId val="{00000008-377D-4981-9929-30582B8CF020}"/>
            </c:ext>
          </c:extLst>
        </c:ser>
        <c:dLbls>
          <c:showLegendKey val="0"/>
          <c:showVal val="0"/>
          <c:showCatName val="0"/>
          <c:showSerName val="0"/>
          <c:showPercent val="0"/>
          <c:showBubbleSize val="0"/>
        </c:dLbls>
        <c:gapWidth val="50"/>
        <c:overlap val="100"/>
        <c:axId val="-1002811344"/>
        <c:axId val="-1002823856"/>
      </c:barChart>
      <c:catAx>
        <c:axId val="-100281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fi-FI"/>
          </a:p>
        </c:txPr>
        <c:crossAx val="-1002823856"/>
        <c:crosses val="autoZero"/>
        <c:auto val="1"/>
        <c:lblAlgn val="ctr"/>
        <c:lblOffset val="100"/>
        <c:noMultiLvlLbl val="0"/>
      </c:catAx>
      <c:valAx>
        <c:axId val="-1002823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fi-FI"/>
                  <a:t>Miljoonaa euroa</a:t>
                </a:r>
              </a:p>
            </c:rich>
          </c:tx>
          <c:layout/>
          <c:overlay val="0"/>
          <c:spPr>
            <a:noFill/>
            <a:ln>
              <a:noFill/>
            </a:ln>
            <a:effectLst/>
          </c:spPr>
          <c:txPr>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endParaRPr lang="fi-FI"/>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fi-FI"/>
          </a:p>
        </c:txPr>
        <c:crossAx val="-100281134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no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1546F-876F-4F3D-B9A8-6AF8A6C2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3378</Words>
  <Characters>27368</Characters>
  <Application>Microsoft Office Word</Application>
  <DocSecurity>4</DocSecurity>
  <Lines>228</Lines>
  <Paragraphs>61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K-S shp</Company>
  <LinksUpToDate>false</LinksUpToDate>
  <CharactersWithSpaces>30685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Paulus Torkki</dc:creator>
  <cp:lastModifiedBy>Anu Kytölä</cp:lastModifiedBy>
  <cp:revision>2</cp:revision>
  <cp:lastPrinted>2015-11-20T06:38:00Z</cp:lastPrinted>
  <dcterms:created xsi:type="dcterms:W3CDTF">2017-06-29T05:24:00Z</dcterms:created>
  <dcterms:modified xsi:type="dcterms:W3CDTF">2017-06-29T05:24:00Z</dcterms:modified>
</cp:coreProperties>
</file>