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85" w:rsidRPr="00C04C85" w:rsidRDefault="00C04C85" w:rsidP="00C04C85">
      <w:pPr>
        <w:spacing w:after="0" w:line="240" w:lineRule="auto"/>
        <w:rPr>
          <w:rFonts w:ascii="Calibri" w:eastAsia="+mn-ea" w:hAnsi="Calibri" w:cs="Arial"/>
          <w:b/>
          <w:bCs/>
          <w:color w:val="000000"/>
          <w:kern w:val="24"/>
          <w:sz w:val="32"/>
          <w:szCs w:val="32"/>
          <w:lang w:eastAsia="en-GB"/>
        </w:rPr>
      </w:pPr>
      <w:r w:rsidRPr="00C04C85">
        <w:rPr>
          <w:rFonts w:ascii="Calibri" w:eastAsia="+mn-ea" w:hAnsi="Calibri" w:cs="Arial"/>
          <w:b/>
          <w:bCs/>
          <w:color w:val="000000"/>
          <w:kern w:val="24"/>
          <w:sz w:val="32"/>
          <w:szCs w:val="32"/>
          <w:lang w:val="en-US" w:eastAsia="en-GB"/>
        </w:rPr>
        <w:t xml:space="preserve">GSK’s commitment to fighting malaria </w:t>
      </w:r>
    </w:p>
    <w:p w:rsidR="00C04C85" w:rsidRDefault="00C04C85" w:rsidP="00C04C85">
      <w:pPr>
        <w:spacing w:after="0" w:line="240" w:lineRule="auto"/>
        <w:rPr>
          <w:rFonts w:ascii="Calibri" w:eastAsia="+mn-ea" w:hAnsi="Calibri" w:cs="Arial"/>
          <w:b/>
          <w:bCs/>
          <w:color w:val="000000"/>
          <w:kern w:val="24"/>
          <w:sz w:val="32"/>
          <w:szCs w:val="32"/>
          <w:lang w:val="en-US" w:eastAsia="en-GB"/>
        </w:rPr>
      </w:pPr>
    </w:p>
    <w:p w:rsidR="00C04C85" w:rsidRPr="00C04C85" w:rsidRDefault="00C04C85" w:rsidP="00C04C85">
      <w:pPr>
        <w:spacing w:after="0" w:line="240" w:lineRule="auto"/>
        <w:rPr>
          <w:rFonts w:ascii="Times New Roman" w:eastAsia="Times New Roman" w:hAnsi="Times New Roman" w:cs="Times New Roman"/>
          <w:sz w:val="24"/>
          <w:szCs w:val="24"/>
          <w:lang w:eastAsia="en-GB"/>
        </w:rPr>
      </w:pPr>
      <w:r w:rsidRPr="00C04C85">
        <w:rPr>
          <w:rFonts w:ascii="Calibri" w:eastAsia="+mn-ea" w:hAnsi="Calibri" w:cs="Arial"/>
          <w:b/>
          <w:bCs/>
          <w:color w:val="000000"/>
          <w:kern w:val="24"/>
          <w:sz w:val="32"/>
          <w:szCs w:val="32"/>
          <w:lang w:val="en-US" w:eastAsia="en-GB"/>
        </w:rPr>
        <w:t xml:space="preserve">An estimated </w:t>
      </w:r>
      <w:r w:rsidRPr="00446A37">
        <w:rPr>
          <w:rFonts w:ascii="Calibri" w:eastAsia="+mn-ea" w:hAnsi="Calibri" w:cs="Arial"/>
          <w:b/>
          <w:bCs/>
          <w:color w:val="000000"/>
          <w:kern w:val="24"/>
          <w:sz w:val="32"/>
          <w:szCs w:val="32"/>
          <w:lang w:val="en-US" w:eastAsia="en-GB"/>
        </w:rPr>
        <w:t xml:space="preserve">3.3 billion people </w:t>
      </w:r>
      <w:r w:rsidRPr="00C04C85">
        <w:rPr>
          <w:rFonts w:ascii="Calibri" w:eastAsia="+mn-ea" w:hAnsi="Calibri" w:cs="Arial"/>
          <w:b/>
          <w:bCs/>
          <w:color w:val="000000"/>
          <w:kern w:val="24"/>
          <w:sz w:val="32"/>
          <w:szCs w:val="32"/>
          <w:lang w:val="en-US" w:eastAsia="en-GB"/>
        </w:rPr>
        <w:t xml:space="preserve">– </w:t>
      </w:r>
      <w:r w:rsidRPr="00C04C85">
        <w:rPr>
          <w:rFonts w:ascii="Calibri" w:eastAsia="+mn-ea" w:hAnsi="Calibri" w:cs="Arial"/>
          <w:b/>
          <w:bCs/>
          <w:color w:val="000000"/>
          <w:kern w:val="24"/>
          <w:lang w:val="en-US" w:eastAsia="en-GB"/>
        </w:rPr>
        <w:t>more than half the world’s population – are at risk of contracting malaria</w:t>
      </w:r>
      <w:r w:rsidRPr="00C04C85">
        <w:rPr>
          <w:rFonts w:ascii="Calibri" w:eastAsia="+mn-ea" w:hAnsi="Calibri" w:cs="Arial"/>
          <w:color w:val="000000"/>
          <w:kern w:val="24"/>
          <w:lang w:val="en-US" w:eastAsia="en-GB"/>
        </w:rPr>
        <w:t xml:space="preserve">, and each year there are around </w:t>
      </w:r>
      <w:r w:rsidRPr="00446A37">
        <w:rPr>
          <w:rFonts w:ascii="Calibri" w:eastAsia="+mn-ea" w:hAnsi="Calibri" w:cs="Arial"/>
          <w:color w:val="000000"/>
          <w:kern w:val="24"/>
          <w:lang w:val="en-US" w:eastAsia="en-GB"/>
        </w:rPr>
        <w:t>225</w:t>
      </w:r>
      <w:r w:rsidRPr="00C04C85">
        <w:rPr>
          <w:rFonts w:ascii="Calibri" w:eastAsia="+mn-ea" w:hAnsi="Calibri" w:cs="Arial"/>
          <w:color w:val="000000"/>
          <w:kern w:val="24"/>
          <w:lang w:val="en-US" w:eastAsia="en-GB"/>
        </w:rPr>
        <w:t xml:space="preserve"> million cases of malaria gl</w:t>
      </w:r>
      <w:r w:rsidR="00310CF9">
        <w:rPr>
          <w:rFonts w:ascii="Calibri" w:eastAsia="+mn-ea" w:hAnsi="Calibri" w:cs="Arial"/>
          <w:color w:val="000000"/>
          <w:kern w:val="24"/>
          <w:lang w:val="en-US" w:eastAsia="en-GB"/>
        </w:rPr>
        <w:t>obally. The disease kills close to</w:t>
      </w:r>
      <w:r w:rsidRPr="00C04C85">
        <w:rPr>
          <w:rFonts w:ascii="Calibri" w:eastAsia="+mn-ea" w:hAnsi="Calibri" w:cs="Arial"/>
          <w:color w:val="000000"/>
          <w:kern w:val="24"/>
          <w:lang w:val="en-US" w:eastAsia="en-GB"/>
        </w:rPr>
        <w:t xml:space="preserve"> </w:t>
      </w:r>
      <w:r w:rsidR="00B36860" w:rsidRPr="00446A37">
        <w:rPr>
          <w:rFonts w:ascii="Calibri" w:eastAsia="+mn-ea" w:hAnsi="Calibri" w:cs="Arial"/>
          <w:color w:val="000000"/>
          <w:kern w:val="24"/>
          <w:lang w:val="en-US" w:eastAsia="en-GB"/>
        </w:rPr>
        <w:t>800,000</w:t>
      </w:r>
      <w:r w:rsidRPr="00C04C85">
        <w:rPr>
          <w:rFonts w:ascii="Calibri" w:eastAsia="+mn-ea" w:hAnsi="Calibri" w:cs="Arial"/>
          <w:color w:val="000000"/>
          <w:kern w:val="24"/>
          <w:lang w:val="en-US" w:eastAsia="en-GB"/>
        </w:rPr>
        <w:t xml:space="preserve"> people annually, the vast majority of whom are children under the age of five living in sub-Saharan Africa. </w:t>
      </w:r>
    </w:p>
    <w:p w:rsidR="00C04C85" w:rsidRDefault="00C04C85" w:rsidP="00C04C85">
      <w:pPr>
        <w:spacing w:after="0" w:line="240" w:lineRule="auto"/>
        <w:rPr>
          <w:rFonts w:ascii="Calibri" w:eastAsia="+mn-ea" w:hAnsi="Calibri" w:cs="Arial"/>
          <w:color w:val="000000"/>
          <w:kern w:val="24"/>
          <w:lang w:val="en-US" w:eastAsia="en-GB"/>
        </w:rPr>
      </w:pPr>
    </w:p>
    <w:p w:rsidR="00C04C85" w:rsidRPr="00C04C85" w:rsidRDefault="00C04C85" w:rsidP="00C04C85">
      <w:pPr>
        <w:spacing w:after="0" w:line="240" w:lineRule="auto"/>
        <w:rPr>
          <w:rFonts w:ascii="Times New Roman" w:eastAsia="Times New Roman" w:hAnsi="Times New Roman" w:cs="Times New Roman"/>
          <w:sz w:val="24"/>
          <w:szCs w:val="24"/>
          <w:lang w:eastAsia="en-GB"/>
        </w:rPr>
      </w:pPr>
      <w:r w:rsidRPr="00C04C85">
        <w:rPr>
          <w:rFonts w:ascii="Calibri" w:eastAsia="+mn-ea" w:hAnsi="Calibri" w:cs="Arial"/>
          <w:color w:val="000000"/>
          <w:kern w:val="24"/>
          <w:lang w:val="en-US" w:eastAsia="en-GB"/>
        </w:rPr>
        <w:t>Malaria takes a devastating toll on communities and economies across Africa. The battle against the disease must be fought on all fronts using a wide range of interventions, including insecticide-treated bed nets, indoor residual spraying, effective medicines and treatments and, eventually,</w:t>
      </w:r>
      <w:r w:rsidR="0088425B">
        <w:rPr>
          <w:rFonts w:ascii="Calibri" w:eastAsia="+mn-ea" w:hAnsi="Calibri" w:cs="Arial"/>
          <w:color w:val="000000"/>
          <w:kern w:val="24"/>
          <w:lang w:val="en-US" w:eastAsia="en-GB"/>
        </w:rPr>
        <w:t xml:space="preserve"> </w:t>
      </w:r>
      <w:r w:rsidRPr="00C04C85">
        <w:rPr>
          <w:rFonts w:ascii="Calibri" w:eastAsia="+mn-ea" w:hAnsi="Calibri" w:cs="Arial"/>
          <w:color w:val="000000"/>
          <w:kern w:val="24"/>
          <w:lang w:val="en-US" w:eastAsia="en-GB"/>
        </w:rPr>
        <w:t>vaccine</w:t>
      </w:r>
      <w:r w:rsidRPr="00446A37">
        <w:rPr>
          <w:rFonts w:ascii="Calibri" w:eastAsia="+mn-ea" w:hAnsi="Calibri" w:cs="Arial"/>
          <w:color w:val="000000"/>
          <w:kern w:val="24"/>
          <w:lang w:val="en-US" w:eastAsia="en-GB"/>
        </w:rPr>
        <w:t>s</w:t>
      </w:r>
      <w:r w:rsidRPr="00C04C85">
        <w:rPr>
          <w:rFonts w:ascii="Calibri" w:eastAsia="+mn-ea" w:hAnsi="Calibri" w:cs="Arial"/>
          <w:color w:val="000000"/>
          <w:kern w:val="24"/>
          <w:lang w:val="en-US" w:eastAsia="en-GB"/>
        </w:rPr>
        <w:t xml:space="preserve">. </w:t>
      </w:r>
    </w:p>
    <w:p w:rsidR="00C04C85" w:rsidRDefault="00C04C85" w:rsidP="00C04C85">
      <w:pPr>
        <w:kinsoku w:val="0"/>
        <w:overflowPunct w:val="0"/>
        <w:spacing w:after="0" w:line="240" w:lineRule="auto"/>
        <w:textAlignment w:val="baseline"/>
        <w:rPr>
          <w:rFonts w:ascii="Calibri" w:eastAsia="+mn-ea" w:hAnsi="Calibri" w:cs="+mn-cs"/>
          <w:b/>
          <w:bCs/>
          <w:color w:val="E46C0A"/>
          <w:kern w:val="24"/>
          <w:sz w:val="32"/>
          <w:szCs w:val="32"/>
          <w:lang w:val="en-US" w:eastAsia="en-GB"/>
        </w:rPr>
      </w:pPr>
    </w:p>
    <w:p w:rsidR="00C04C85" w:rsidRPr="00C04C85" w:rsidRDefault="00C04C85" w:rsidP="00C04C85">
      <w:pPr>
        <w:kinsoku w:val="0"/>
        <w:overflowPunct w:val="0"/>
        <w:spacing w:after="0" w:line="240" w:lineRule="auto"/>
        <w:textAlignment w:val="baseline"/>
        <w:rPr>
          <w:rFonts w:ascii="Times New Roman" w:eastAsia="Times New Roman" w:hAnsi="Times New Roman" w:cs="Times New Roman"/>
          <w:sz w:val="24"/>
          <w:szCs w:val="24"/>
          <w:lang w:eastAsia="en-GB"/>
        </w:rPr>
      </w:pPr>
      <w:r w:rsidRPr="00C04C85">
        <w:rPr>
          <w:rFonts w:ascii="Calibri" w:eastAsia="+mn-ea" w:hAnsi="Calibri" w:cs="+mn-cs"/>
          <w:b/>
          <w:bCs/>
          <w:color w:val="E46C0A"/>
          <w:kern w:val="24"/>
          <w:sz w:val="28"/>
          <w:szCs w:val="32"/>
          <w:lang w:val="en-US" w:eastAsia="en-GB"/>
        </w:rPr>
        <w:t xml:space="preserve">GlaxoSmithKline (GSK) has been involved in the fight against malaria </w:t>
      </w:r>
      <w:r w:rsidRPr="00C04C85">
        <w:rPr>
          <w:rFonts w:ascii="Calibri" w:eastAsia="+mn-ea" w:hAnsi="Calibri" w:cs="+mn-cs"/>
          <w:color w:val="000000"/>
          <w:kern w:val="24"/>
          <w:lang w:val="en-US" w:eastAsia="en-GB"/>
        </w:rPr>
        <w:t>for decades through our malaria research and development (R&amp;D) programmes. We work hand-in-hand with organisations at the local, regional and international levels to ensure that our products complement existing malaria interventions.</w:t>
      </w:r>
    </w:p>
    <w:p w:rsidR="00C04C85" w:rsidRDefault="00C04C85" w:rsidP="00C04C85">
      <w:pPr>
        <w:kinsoku w:val="0"/>
        <w:overflowPunct w:val="0"/>
        <w:spacing w:after="0" w:line="240" w:lineRule="auto"/>
        <w:textAlignment w:val="baseline"/>
        <w:rPr>
          <w:rFonts w:ascii="Calibri" w:eastAsia="+mn-ea" w:hAnsi="Calibri" w:cs="+mn-cs"/>
          <w:b/>
          <w:bCs/>
          <w:color w:val="000000"/>
          <w:kern w:val="24"/>
          <w:lang w:val="en-US" w:eastAsia="en-GB"/>
        </w:rPr>
      </w:pPr>
    </w:p>
    <w:p w:rsidR="00C04C85" w:rsidRPr="00C04C85" w:rsidRDefault="00C04C85" w:rsidP="00C04C85">
      <w:pPr>
        <w:kinsoku w:val="0"/>
        <w:overflowPunct w:val="0"/>
        <w:spacing w:after="0" w:line="240" w:lineRule="auto"/>
        <w:textAlignment w:val="baseline"/>
        <w:rPr>
          <w:rFonts w:ascii="Times New Roman" w:eastAsia="Times New Roman" w:hAnsi="Times New Roman" w:cs="Times New Roman"/>
          <w:sz w:val="24"/>
          <w:szCs w:val="24"/>
          <w:lang w:eastAsia="en-GB"/>
        </w:rPr>
      </w:pPr>
      <w:r w:rsidRPr="00C04C85">
        <w:rPr>
          <w:rFonts w:ascii="Calibri" w:eastAsia="+mn-ea" w:hAnsi="Calibri" w:cs="+mn-cs"/>
          <w:b/>
          <w:bCs/>
          <w:color w:val="000000"/>
          <w:kern w:val="24"/>
          <w:lang w:val="en-US" w:eastAsia="en-GB"/>
        </w:rPr>
        <w:t xml:space="preserve">GSK’s malaria control strategy has three areas of focus:  </w:t>
      </w:r>
    </w:p>
    <w:p w:rsidR="00C04C85" w:rsidRPr="00C12D7F" w:rsidRDefault="00CE3FAD" w:rsidP="00C12D7F">
      <w:pPr>
        <w:pStyle w:val="ListParagraph"/>
        <w:numPr>
          <w:ilvl w:val="0"/>
          <w:numId w:val="2"/>
        </w:numPr>
        <w:kinsoku w:val="0"/>
        <w:overflowPunct w:val="0"/>
        <w:spacing w:after="0" w:line="240" w:lineRule="auto"/>
        <w:textAlignment w:val="baseline"/>
        <w:rPr>
          <w:rFonts w:ascii="Times New Roman" w:eastAsia="Times New Roman" w:hAnsi="Times New Roman" w:cs="Times New Roman"/>
          <w:sz w:val="24"/>
          <w:szCs w:val="24"/>
          <w:lang w:eastAsia="en-GB"/>
        </w:rPr>
      </w:pPr>
      <w:r>
        <w:rPr>
          <w:rFonts w:ascii="Calibri" w:eastAsia="+mn-ea" w:hAnsi="Calibri" w:cs="Arial"/>
          <w:b/>
          <w:color w:val="000000"/>
          <w:kern w:val="24"/>
          <w:lang w:val="en-US" w:eastAsia="en-GB"/>
        </w:rPr>
        <w:t>Research &amp; Development</w:t>
      </w:r>
      <w:r w:rsidR="00273DE2" w:rsidRPr="00446A37">
        <w:rPr>
          <w:rFonts w:ascii="Calibri" w:eastAsia="+mn-ea" w:hAnsi="Calibri" w:cs="Arial"/>
          <w:color w:val="000000"/>
          <w:kern w:val="24"/>
          <w:lang w:val="en-US" w:eastAsia="en-GB"/>
        </w:rPr>
        <w:t xml:space="preserve"> into</w:t>
      </w:r>
      <w:r w:rsidR="00C04C85" w:rsidRPr="00446A37">
        <w:rPr>
          <w:rFonts w:ascii="Calibri" w:eastAsia="+mn-ea" w:hAnsi="Calibri" w:cs="Arial"/>
          <w:color w:val="000000"/>
          <w:kern w:val="24"/>
          <w:lang w:val="en-US" w:eastAsia="en-GB"/>
        </w:rPr>
        <w:t xml:space="preserve"> new</w:t>
      </w:r>
      <w:r w:rsidR="00C04C85" w:rsidRPr="00C12D7F">
        <w:rPr>
          <w:rFonts w:ascii="Calibri" w:eastAsia="+mn-ea" w:hAnsi="Calibri" w:cs="+mn-cs"/>
          <w:color w:val="000000"/>
          <w:kern w:val="24"/>
          <w:lang w:val="en-US" w:eastAsia="en-GB"/>
        </w:rPr>
        <w:t xml:space="preserve"> malaria medicines, treatments and vaccines</w:t>
      </w:r>
    </w:p>
    <w:p w:rsidR="00C04C85" w:rsidRPr="00273DE2" w:rsidRDefault="00C04C85" w:rsidP="00C12D7F">
      <w:pPr>
        <w:pStyle w:val="ListParagraph"/>
        <w:numPr>
          <w:ilvl w:val="0"/>
          <w:numId w:val="2"/>
        </w:numPr>
        <w:kinsoku w:val="0"/>
        <w:overflowPunct w:val="0"/>
        <w:spacing w:after="0" w:line="240" w:lineRule="auto"/>
        <w:textAlignment w:val="baseline"/>
        <w:rPr>
          <w:rFonts w:ascii="Times New Roman" w:eastAsia="Times New Roman" w:hAnsi="Times New Roman" w:cs="Times New Roman"/>
          <w:sz w:val="24"/>
          <w:szCs w:val="24"/>
          <w:lang w:eastAsia="en-GB"/>
        </w:rPr>
      </w:pPr>
      <w:r w:rsidRPr="00C12D7F">
        <w:rPr>
          <w:rFonts w:ascii="Calibri" w:eastAsia="+mn-ea" w:hAnsi="Calibri" w:cs="+mn-cs"/>
          <w:b/>
          <w:bCs/>
          <w:color w:val="000000"/>
          <w:kern w:val="24"/>
          <w:lang w:val="en-US" w:eastAsia="en-GB"/>
        </w:rPr>
        <w:t xml:space="preserve">Community investment activities </w:t>
      </w:r>
      <w:r w:rsidRPr="00C12D7F">
        <w:rPr>
          <w:rFonts w:ascii="Calibri" w:eastAsia="+mn-ea" w:hAnsi="Calibri" w:cs="+mn-cs"/>
          <w:color w:val="000000"/>
          <w:kern w:val="24"/>
          <w:lang w:val="en-US" w:eastAsia="en-GB"/>
        </w:rPr>
        <w:t xml:space="preserve">through the African Malaria Partnership (AMP) </w:t>
      </w:r>
    </w:p>
    <w:p w:rsidR="00C04C85" w:rsidRPr="00C12D7F" w:rsidRDefault="00C04C85" w:rsidP="00C12D7F">
      <w:pPr>
        <w:pStyle w:val="ListParagraph"/>
        <w:numPr>
          <w:ilvl w:val="0"/>
          <w:numId w:val="2"/>
        </w:numPr>
        <w:kinsoku w:val="0"/>
        <w:overflowPunct w:val="0"/>
        <w:spacing w:after="0" w:line="240" w:lineRule="auto"/>
        <w:textAlignment w:val="baseline"/>
        <w:rPr>
          <w:rFonts w:ascii="Times New Roman" w:eastAsia="Times New Roman" w:hAnsi="Times New Roman" w:cs="Times New Roman"/>
          <w:sz w:val="24"/>
          <w:szCs w:val="24"/>
          <w:lang w:eastAsia="en-GB"/>
        </w:rPr>
      </w:pPr>
      <w:r w:rsidRPr="00C12D7F">
        <w:rPr>
          <w:rFonts w:ascii="Calibri" w:eastAsia="+mn-ea" w:hAnsi="Calibri" w:cs="+mn-cs"/>
          <w:b/>
          <w:bCs/>
          <w:color w:val="000000"/>
          <w:kern w:val="24"/>
          <w:lang w:val="en-US" w:eastAsia="en-GB"/>
        </w:rPr>
        <w:t xml:space="preserve">Preferential pricing for </w:t>
      </w:r>
      <w:r w:rsidR="00273DE2" w:rsidRPr="00446A37">
        <w:rPr>
          <w:rFonts w:ascii="Calibri" w:eastAsia="+mn-ea" w:hAnsi="Calibri" w:cs="+mn-cs"/>
          <w:b/>
          <w:bCs/>
          <w:color w:val="000000"/>
          <w:kern w:val="24"/>
          <w:lang w:val="en-US" w:eastAsia="en-GB"/>
        </w:rPr>
        <w:t>our</w:t>
      </w:r>
      <w:r w:rsidR="00273DE2">
        <w:rPr>
          <w:rFonts w:ascii="Calibri" w:eastAsia="+mn-ea" w:hAnsi="Calibri" w:cs="+mn-cs"/>
          <w:b/>
          <w:bCs/>
          <w:color w:val="000000"/>
          <w:kern w:val="24"/>
          <w:lang w:val="en-US" w:eastAsia="en-GB"/>
        </w:rPr>
        <w:t xml:space="preserve"> </w:t>
      </w:r>
      <w:r w:rsidRPr="00C12D7F">
        <w:rPr>
          <w:rFonts w:ascii="Calibri" w:eastAsia="+mn-ea" w:hAnsi="Calibri" w:cs="+mn-cs"/>
          <w:b/>
          <w:bCs/>
          <w:color w:val="000000"/>
          <w:kern w:val="24"/>
          <w:lang w:val="en-US" w:eastAsia="en-GB"/>
        </w:rPr>
        <w:t xml:space="preserve">anti-malarials </w:t>
      </w:r>
      <w:r w:rsidRPr="00C12D7F">
        <w:rPr>
          <w:rFonts w:ascii="Calibri" w:eastAsia="+mn-ea" w:hAnsi="Calibri" w:cs="+mn-cs"/>
          <w:color w:val="000000"/>
          <w:kern w:val="24"/>
          <w:lang w:val="en-US" w:eastAsia="en-GB"/>
        </w:rPr>
        <w:t xml:space="preserve">in the least-developed countries and sub-Saharan Africa </w:t>
      </w:r>
    </w:p>
    <w:p w:rsidR="00273DE2" w:rsidRDefault="00273DE2" w:rsidP="00C04C85">
      <w:pPr>
        <w:kinsoku w:val="0"/>
        <w:overflowPunct w:val="0"/>
        <w:spacing w:after="0" w:line="240" w:lineRule="auto"/>
        <w:textAlignment w:val="baseline"/>
        <w:rPr>
          <w:rFonts w:ascii="Calibri" w:eastAsia="+mn-ea" w:hAnsi="Calibri" w:cs="+mn-cs"/>
          <w:b/>
          <w:bCs/>
          <w:color w:val="E46C0A"/>
          <w:kern w:val="24"/>
          <w:sz w:val="24"/>
          <w:szCs w:val="24"/>
          <w:lang w:val="en-US" w:eastAsia="en-GB"/>
        </w:rPr>
      </w:pPr>
    </w:p>
    <w:p w:rsidR="00C04C85" w:rsidRDefault="00C04C85" w:rsidP="00C04C85">
      <w:pPr>
        <w:kinsoku w:val="0"/>
        <w:overflowPunct w:val="0"/>
        <w:spacing w:after="0" w:line="240" w:lineRule="auto"/>
        <w:textAlignment w:val="baseline"/>
        <w:rPr>
          <w:rFonts w:ascii="Calibri" w:eastAsia="+mn-ea" w:hAnsi="Calibri" w:cs="+mn-cs"/>
          <w:b/>
          <w:bCs/>
          <w:color w:val="E46C0A"/>
          <w:kern w:val="24"/>
          <w:sz w:val="24"/>
          <w:szCs w:val="24"/>
          <w:lang w:val="en-US" w:eastAsia="en-GB"/>
        </w:rPr>
      </w:pPr>
      <w:r w:rsidRPr="00C04C85">
        <w:rPr>
          <w:rFonts w:ascii="Calibri" w:eastAsia="+mn-ea" w:hAnsi="Calibri" w:cs="+mn-cs"/>
          <w:b/>
          <w:bCs/>
          <w:color w:val="E46C0A"/>
          <w:kern w:val="24"/>
          <w:sz w:val="24"/>
          <w:szCs w:val="24"/>
          <w:lang w:val="en-US" w:eastAsia="en-GB"/>
        </w:rPr>
        <w:t>Research and Development</w:t>
      </w:r>
    </w:p>
    <w:p w:rsidR="001A02B2" w:rsidRPr="00C04C85" w:rsidRDefault="001A02B2" w:rsidP="00C04C85">
      <w:pPr>
        <w:kinsoku w:val="0"/>
        <w:overflowPunct w:val="0"/>
        <w:spacing w:after="0" w:line="240" w:lineRule="auto"/>
        <w:textAlignment w:val="baseline"/>
        <w:rPr>
          <w:rFonts w:ascii="Times New Roman" w:eastAsia="Times New Roman" w:hAnsi="Times New Roman" w:cs="Times New Roman"/>
          <w:sz w:val="24"/>
          <w:szCs w:val="24"/>
          <w:lang w:eastAsia="en-GB"/>
        </w:rPr>
      </w:pPr>
    </w:p>
    <w:p w:rsidR="00C04C85" w:rsidRPr="00C04C85" w:rsidRDefault="00C04C85" w:rsidP="00C04C85">
      <w:pPr>
        <w:kinsoku w:val="0"/>
        <w:overflowPunct w:val="0"/>
        <w:spacing w:after="0" w:line="240" w:lineRule="auto"/>
        <w:textAlignment w:val="baseline"/>
        <w:rPr>
          <w:rFonts w:ascii="Times New Roman" w:eastAsia="Times New Roman" w:hAnsi="Times New Roman" w:cs="Times New Roman"/>
          <w:sz w:val="24"/>
          <w:szCs w:val="24"/>
          <w:lang w:eastAsia="en-GB"/>
        </w:rPr>
      </w:pPr>
      <w:r w:rsidRPr="00C04C85">
        <w:rPr>
          <w:rFonts w:ascii="Calibri" w:eastAsia="+mn-ea" w:hAnsi="Calibri" w:cs="+mn-cs"/>
          <w:b/>
          <w:bCs/>
          <w:i/>
          <w:iCs/>
          <w:color w:val="000000"/>
          <w:kern w:val="24"/>
          <w:lang w:val="en-US" w:eastAsia="en-GB"/>
        </w:rPr>
        <w:t xml:space="preserve">Vaccines </w:t>
      </w:r>
    </w:p>
    <w:p w:rsidR="00CE3FAD" w:rsidRDefault="00CE3FAD" w:rsidP="00C04C85">
      <w:pPr>
        <w:kinsoku w:val="0"/>
        <w:overflowPunct w:val="0"/>
        <w:spacing w:after="0" w:line="240" w:lineRule="auto"/>
        <w:textAlignment w:val="baseline"/>
        <w:rPr>
          <w:rFonts w:ascii="Calibri" w:eastAsia="+mn-ea" w:hAnsi="Calibri" w:cs="+mn-cs"/>
          <w:color w:val="000000"/>
          <w:kern w:val="24"/>
          <w:sz w:val="20"/>
          <w:szCs w:val="20"/>
          <w:lang w:val="en-US" w:eastAsia="en-GB"/>
        </w:rPr>
      </w:pPr>
      <w:r w:rsidRPr="00CE3FAD">
        <w:rPr>
          <w:rFonts w:ascii="Calibri" w:eastAsia="+mn-ea" w:hAnsi="Calibri" w:cs="+mn-cs"/>
          <w:color w:val="000000"/>
          <w:kern w:val="24"/>
          <w:sz w:val="20"/>
          <w:szCs w:val="20"/>
          <w:lang w:val="en-US" w:eastAsia="en-GB"/>
        </w:rPr>
        <w:t xml:space="preserve">RTS,S is the most clinically advanced malaria vaccine candidate in the world today. In clinical trials, it was the first to demonstrate that it could help protect young children and infants in malaria-endemic areas against infection and clinical disease caused by </w:t>
      </w:r>
      <w:r w:rsidRPr="00CE3FAD">
        <w:rPr>
          <w:rFonts w:ascii="Calibri" w:eastAsia="+mn-ea" w:hAnsi="Calibri" w:cs="+mn-cs"/>
          <w:i/>
          <w:iCs/>
          <w:color w:val="000000"/>
          <w:kern w:val="24"/>
          <w:sz w:val="20"/>
          <w:szCs w:val="20"/>
          <w:lang w:val="en-US" w:eastAsia="en-GB"/>
        </w:rPr>
        <w:t>Plasmodium falciparum</w:t>
      </w:r>
      <w:r w:rsidRPr="00CE3FAD">
        <w:rPr>
          <w:rFonts w:ascii="Calibri" w:eastAsia="+mn-ea" w:hAnsi="Calibri" w:cs="+mn-cs"/>
          <w:color w:val="000000"/>
          <w:kern w:val="24"/>
          <w:sz w:val="20"/>
          <w:szCs w:val="20"/>
          <w:lang w:val="en-US" w:eastAsia="en-GB"/>
        </w:rPr>
        <w:t>, the most deadly species of the malaria parasite.</w:t>
      </w:r>
      <w:r>
        <w:rPr>
          <w:rFonts w:ascii="Calibri" w:eastAsia="+mn-ea" w:hAnsi="Calibri" w:cs="+mn-cs"/>
          <w:color w:val="000000"/>
          <w:kern w:val="24"/>
          <w:sz w:val="20"/>
          <w:szCs w:val="20"/>
          <w:lang w:val="en-US" w:eastAsia="en-GB"/>
        </w:rPr>
        <w:t xml:space="preserve"> The vaccine candidate</w:t>
      </w:r>
      <w:r w:rsidR="00C04C85" w:rsidRPr="00C04C85">
        <w:rPr>
          <w:rFonts w:ascii="Calibri" w:eastAsia="+mn-ea" w:hAnsi="Calibri" w:cs="+mn-cs"/>
          <w:color w:val="000000"/>
          <w:kern w:val="24"/>
          <w:sz w:val="20"/>
          <w:szCs w:val="20"/>
          <w:lang w:val="en-US" w:eastAsia="en-GB"/>
        </w:rPr>
        <w:t xml:space="preserve"> is now in Phase III </w:t>
      </w:r>
      <w:r w:rsidR="00C04C85" w:rsidRPr="00446A37">
        <w:rPr>
          <w:rFonts w:ascii="Calibri" w:eastAsia="+mn-ea" w:hAnsi="Calibri" w:cs="+mn-cs"/>
          <w:kern w:val="24"/>
          <w:sz w:val="20"/>
          <w:szCs w:val="20"/>
          <w:lang w:val="en-US" w:eastAsia="en-GB"/>
        </w:rPr>
        <w:t>clinical trials at</w:t>
      </w:r>
      <w:r w:rsidR="00C04C85" w:rsidRPr="00C04C85">
        <w:rPr>
          <w:rFonts w:ascii="Calibri" w:eastAsia="+mn-ea" w:hAnsi="Calibri" w:cs="+mn-cs"/>
          <w:color w:val="FF0000"/>
          <w:kern w:val="24"/>
          <w:sz w:val="20"/>
          <w:szCs w:val="20"/>
          <w:lang w:val="en-US" w:eastAsia="en-GB"/>
        </w:rPr>
        <w:t xml:space="preserve"> </w:t>
      </w:r>
      <w:r w:rsidR="00C04C85" w:rsidRPr="00C04C85">
        <w:rPr>
          <w:rFonts w:ascii="Calibri" w:eastAsia="+mn-ea" w:hAnsi="Calibri" w:cs="+mn-cs"/>
          <w:color w:val="000000"/>
          <w:kern w:val="24"/>
          <w:sz w:val="20"/>
          <w:szCs w:val="20"/>
          <w:lang w:val="en-US" w:eastAsia="en-GB"/>
        </w:rPr>
        <w:t xml:space="preserve">11 sites in seven African countries: Burkina Faso, Gabon, Ghana, Kenya, Malawi, Mozambique and Tanzania. </w:t>
      </w:r>
    </w:p>
    <w:p w:rsidR="00CE3FAD" w:rsidRDefault="00CE3FAD" w:rsidP="00C04C85">
      <w:pPr>
        <w:kinsoku w:val="0"/>
        <w:overflowPunct w:val="0"/>
        <w:spacing w:after="0" w:line="240" w:lineRule="auto"/>
        <w:textAlignment w:val="baseline"/>
        <w:rPr>
          <w:rFonts w:ascii="Calibri" w:eastAsia="+mn-ea" w:hAnsi="Calibri" w:cs="+mn-cs"/>
          <w:color w:val="000000"/>
          <w:kern w:val="24"/>
          <w:sz w:val="20"/>
          <w:szCs w:val="20"/>
          <w:lang w:val="en-US" w:eastAsia="en-GB"/>
        </w:rPr>
      </w:pPr>
    </w:p>
    <w:p w:rsidR="00C04C85" w:rsidRDefault="00044EC0" w:rsidP="00C04C85">
      <w:pPr>
        <w:kinsoku w:val="0"/>
        <w:overflowPunct w:val="0"/>
        <w:spacing w:after="0" w:line="240" w:lineRule="auto"/>
        <w:textAlignment w:val="baseline"/>
        <w:rPr>
          <w:rFonts w:ascii="Calibri" w:eastAsia="+mn-ea" w:hAnsi="Calibri" w:cs="+mn-cs"/>
          <w:color w:val="000000"/>
          <w:kern w:val="24"/>
          <w:sz w:val="20"/>
          <w:szCs w:val="20"/>
          <w:lang w:val="en-US" w:eastAsia="en-GB"/>
        </w:rPr>
      </w:pPr>
      <w:r>
        <w:rPr>
          <w:rFonts w:ascii="Calibri" w:eastAsia="+mn-ea" w:hAnsi="Calibri" w:cs="+mn-cs"/>
          <w:color w:val="000000"/>
          <w:kern w:val="24"/>
          <w:sz w:val="20"/>
          <w:szCs w:val="20"/>
          <w:lang w:val="en-US" w:eastAsia="en-GB"/>
        </w:rPr>
        <w:t xml:space="preserve">The RTS,S malaria vaccine candidate is </w:t>
      </w:r>
      <w:r w:rsidR="0073161F">
        <w:rPr>
          <w:rFonts w:ascii="Calibri" w:eastAsia="+mn-ea" w:hAnsi="Calibri" w:cs="+mn-cs"/>
          <w:color w:val="000000"/>
          <w:kern w:val="24"/>
          <w:sz w:val="20"/>
          <w:szCs w:val="20"/>
          <w:lang w:val="en-US" w:eastAsia="en-GB"/>
        </w:rPr>
        <w:t xml:space="preserve">still in development and will be </w:t>
      </w:r>
      <w:r>
        <w:rPr>
          <w:rFonts w:ascii="Calibri" w:eastAsia="+mn-ea" w:hAnsi="Calibri" w:cs="+mn-cs"/>
          <w:color w:val="000000"/>
          <w:kern w:val="24"/>
          <w:sz w:val="20"/>
          <w:szCs w:val="20"/>
          <w:lang w:val="en-US" w:eastAsia="en-GB"/>
        </w:rPr>
        <w:t xml:space="preserve">subject to the evaluation of its safety, quality and efficacy, as well as its benefits and risks, by regulatory and public health authorities. </w:t>
      </w:r>
      <w:r w:rsidR="00C04C85" w:rsidRPr="00C04C85">
        <w:rPr>
          <w:rFonts w:ascii="Calibri" w:eastAsia="+mn-ea" w:hAnsi="Calibri" w:cs="+mn-cs"/>
          <w:color w:val="000000"/>
          <w:kern w:val="24"/>
          <w:sz w:val="20"/>
          <w:szCs w:val="20"/>
          <w:lang w:val="en-US" w:eastAsia="en-GB"/>
        </w:rPr>
        <w:t xml:space="preserve">If approved, the vaccine could be administered through national immunisation programmes to complement currently available malaria control measures. </w:t>
      </w:r>
    </w:p>
    <w:p w:rsidR="00044EC0" w:rsidRDefault="00044EC0" w:rsidP="00C04C85">
      <w:pPr>
        <w:kinsoku w:val="0"/>
        <w:overflowPunct w:val="0"/>
        <w:spacing w:after="0" w:line="240" w:lineRule="auto"/>
        <w:textAlignment w:val="baseline"/>
        <w:rPr>
          <w:rFonts w:ascii="Calibri" w:eastAsia="+mn-ea" w:hAnsi="Calibri" w:cs="+mn-cs"/>
          <w:color w:val="000000"/>
          <w:kern w:val="24"/>
          <w:sz w:val="20"/>
          <w:szCs w:val="20"/>
          <w:lang w:val="en-US" w:eastAsia="en-GB"/>
        </w:rPr>
      </w:pPr>
    </w:p>
    <w:p w:rsidR="001D756C" w:rsidRDefault="001D756C" w:rsidP="00C04C85">
      <w:pPr>
        <w:kinsoku w:val="0"/>
        <w:overflowPunct w:val="0"/>
        <w:spacing w:after="0" w:line="240" w:lineRule="auto"/>
        <w:textAlignment w:val="baseline"/>
        <w:rPr>
          <w:rFonts w:ascii="Calibri" w:eastAsia="+mn-ea" w:hAnsi="Calibri" w:cs="+mn-cs"/>
          <w:kern w:val="24"/>
          <w:sz w:val="20"/>
          <w:szCs w:val="20"/>
          <w:lang w:val="en-US" w:eastAsia="en-GB"/>
        </w:rPr>
      </w:pPr>
      <w:r>
        <w:rPr>
          <w:rFonts w:ascii="Calibri" w:eastAsia="+mn-ea" w:hAnsi="Calibri" w:cs="+mn-cs"/>
          <w:color w:val="000000"/>
          <w:kern w:val="24"/>
          <w:sz w:val="20"/>
          <w:szCs w:val="20"/>
          <w:lang w:val="en-US" w:eastAsia="en-GB"/>
        </w:rPr>
        <w:t>GSK are working with the</w:t>
      </w:r>
      <w:r w:rsidR="00C04C85" w:rsidRPr="00C04C85">
        <w:rPr>
          <w:rFonts w:ascii="Calibri" w:eastAsia="+mn-ea" w:hAnsi="Calibri" w:cs="+mn-cs"/>
          <w:color w:val="000000"/>
          <w:kern w:val="24"/>
          <w:sz w:val="20"/>
          <w:szCs w:val="20"/>
          <w:lang w:val="en-US" w:eastAsia="en-GB"/>
        </w:rPr>
        <w:t xml:space="preserve"> PATH Malaria Vaccine Initiative (MVI)</w:t>
      </w:r>
      <w:r w:rsidR="00352A7D">
        <w:rPr>
          <w:rFonts w:ascii="Calibri" w:eastAsia="+mn-ea" w:hAnsi="Calibri" w:cs="+mn-cs"/>
          <w:color w:val="000000"/>
          <w:kern w:val="24"/>
          <w:sz w:val="20"/>
          <w:szCs w:val="20"/>
          <w:lang w:val="en-US" w:eastAsia="en-GB"/>
        </w:rPr>
        <w:t>, with grant monies from the Bill &amp; Melinda Gates Foundation to MV</w:t>
      </w:r>
      <w:r>
        <w:rPr>
          <w:rFonts w:ascii="Calibri" w:eastAsia="+mn-ea" w:hAnsi="Calibri" w:cs="+mn-cs"/>
          <w:color w:val="000000"/>
          <w:kern w:val="24"/>
          <w:sz w:val="20"/>
          <w:szCs w:val="20"/>
          <w:lang w:val="en-US" w:eastAsia="en-GB"/>
        </w:rPr>
        <w:t xml:space="preserve">I, and other partners to ensure that RTS,S, if approved for use, reaches the infants and children in sub-Saharan </w:t>
      </w:r>
      <w:r w:rsidR="00C04C85" w:rsidRPr="00446A37">
        <w:rPr>
          <w:rFonts w:ascii="Calibri" w:eastAsia="+mn-ea" w:hAnsi="Calibri" w:cs="+mn-cs"/>
          <w:kern w:val="24"/>
          <w:sz w:val="20"/>
          <w:szCs w:val="20"/>
          <w:lang w:val="en-US" w:eastAsia="en-GB"/>
        </w:rPr>
        <w:t xml:space="preserve">Africa </w:t>
      </w:r>
      <w:r>
        <w:rPr>
          <w:rFonts w:ascii="Calibri" w:eastAsia="+mn-ea" w:hAnsi="Calibri" w:cs="+mn-cs"/>
          <w:kern w:val="24"/>
          <w:sz w:val="20"/>
          <w:szCs w:val="20"/>
          <w:lang w:val="en-US" w:eastAsia="en-GB"/>
        </w:rPr>
        <w:t xml:space="preserve">who need it most </w:t>
      </w:r>
      <w:r w:rsidR="00C04C85" w:rsidRPr="00446A37">
        <w:rPr>
          <w:rFonts w:ascii="Calibri" w:eastAsia="+mn-ea" w:hAnsi="Calibri" w:cs="+mn-cs"/>
          <w:kern w:val="24"/>
          <w:sz w:val="20"/>
          <w:szCs w:val="20"/>
          <w:lang w:val="en-US" w:eastAsia="en-GB"/>
        </w:rPr>
        <w:t xml:space="preserve">as quickly as possible. </w:t>
      </w:r>
    </w:p>
    <w:p w:rsidR="001D756C" w:rsidRDefault="001D756C" w:rsidP="00C04C85">
      <w:pPr>
        <w:kinsoku w:val="0"/>
        <w:overflowPunct w:val="0"/>
        <w:spacing w:after="0" w:line="240" w:lineRule="auto"/>
        <w:textAlignment w:val="baseline"/>
        <w:rPr>
          <w:rFonts w:ascii="Calibri" w:eastAsia="+mn-ea" w:hAnsi="Calibri" w:cs="+mn-cs"/>
          <w:kern w:val="24"/>
          <w:sz w:val="20"/>
          <w:szCs w:val="20"/>
          <w:lang w:val="en-US" w:eastAsia="en-GB"/>
        </w:rPr>
      </w:pPr>
    </w:p>
    <w:p w:rsidR="00C04C85" w:rsidRPr="00446A37" w:rsidRDefault="00C04C85" w:rsidP="00C04C85">
      <w:pPr>
        <w:kinsoku w:val="0"/>
        <w:overflowPunct w:val="0"/>
        <w:spacing w:after="0" w:line="240" w:lineRule="auto"/>
        <w:textAlignment w:val="baseline"/>
        <w:rPr>
          <w:rFonts w:ascii="Times New Roman" w:eastAsia="Times New Roman" w:hAnsi="Times New Roman" w:cs="Times New Roman"/>
          <w:sz w:val="24"/>
          <w:szCs w:val="24"/>
          <w:lang w:eastAsia="en-GB"/>
        </w:rPr>
      </w:pPr>
      <w:r w:rsidRPr="00446A37">
        <w:rPr>
          <w:rFonts w:ascii="Calibri" w:eastAsia="+mn-ea" w:hAnsi="Calibri" w:cs="+mn-cs"/>
          <w:kern w:val="24"/>
          <w:sz w:val="20"/>
          <w:szCs w:val="20"/>
          <w:lang w:val="en-US" w:eastAsia="en-GB"/>
        </w:rPr>
        <w:t xml:space="preserve">GSK has committed to pricing </w:t>
      </w:r>
      <w:r w:rsidRPr="00446A37">
        <w:rPr>
          <w:rFonts w:ascii="Calibri" w:eastAsia="+mn-ea" w:hAnsi="Calibri" w:cs="+mn-cs"/>
          <w:kern w:val="24"/>
          <w:sz w:val="20"/>
          <w:szCs w:val="20"/>
          <w:lang w:eastAsia="en-GB"/>
        </w:rPr>
        <w:t xml:space="preserve">RTS,S to cover </w:t>
      </w:r>
      <w:r w:rsidR="00082ED0" w:rsidRPr="00446A37">
        <w:rPr>
          <w:rFonts w:ascii="Calibri" w:eastAsia="+mn-ea" w:hAnsi="Calibri" w:cs="+mn-cs"/>
          <w:kern w:val="24"/>
          <w:sz w:val="20"/>
          <w:szCs w:val="20"/>
          <w:lang w:eastAsia="en-GB"/>
        </w:rPr>
        <w:t xml:space="preserve">the </w:t>
      </w:r>
      <w:r w:rsidRPr="00446A37">
        <w:rPr>
          <w:rFonts w:ascii="Calibri" w:eastAsia="+mn-ea" w:hAnsi="Calibri" w:cs="+mn-cs"/>
          <w:kern w:val="24"/>
          <w:sz w:val="20"/>
          <w:szCs w:val="20"/>
          <w:lang w:eastAsia="en-GB"/>
        </w:rPr>
        <w:t>cost</w:t>
      </w:r>
      <w:r w:rsidR="00B731E1">
        <w:rPr>
          <w:rFonts w:ascii="Calibri" w:eastAsia="+mn-ea" w:hAnsi="Calibri" w:cs="+mn-cs"/>
          <w:kern w:val="24"/>
          <w:sz w:val="20"/>
          <w:szCs w:val="20"/>
          <w:lang w:eastAsia="en-GB"/>
        </w:rPr>
        <w:t xml:space="preserve"> of the vaccine together with</w:t>
      </w:r>
      <w:r w:rsidRPr="00446A37">
        <w:rPr>
          <w:rFonts w:ascii="Calibri" w:eastAsia="+mn-ea" w:hAnsi="Calibri" w:cs="+mn-cs"/>
          <w:kern w:val="24"/>
          <w:sz w:val="20"/>
          <w:szCs w:val="20"/>
          <w:lang w:eastAsia="en-GB"/>
        </w:rPr>
        <w:t xml:space="preserve"> a small return</w:t>
      </w:r>
      <w:r w:rsidR="00082ED0" w:rsidRPr="00446A37">
        <w:rPr>
          <w:rFonts w:ascii="Calibri" w:eastAsia="+mn-ea" w:hAnsi="Calibri" w:cs="+mn-cs"/>
          <w:kern w:val="24"/>
          <w:sz w:val="20"/>
          <w:szCs w:val="20"/>
          <w:lang w:eastAsia="en-GB"/>
        </w:rPr>
        <w:t>,</w:t>
      </w:r>
      <w:r w:rsidRPr="00446A37">
        <w:rPr>
          <w:rFonts w:ascii="Calibri" w:eastAsia="+mn-ea" w:hAnsi="Calibri" w:cs="+mn-cs"/>
          <w:kern w:val="24"/>
          <w:sz w:val="20"/>
          <w:szCs w:val="20"/>
          <w:lang w:eastAsia="en-GB"/>
        </w:rPr>
        <w:t xml:space="preserve"> which will be reinvested in research and development for second-generation malaria vaccines, or </w:t>
      </w:r>
      <w:r w:rsidR="009424BE">
        <w:rPr>
          <w:rFonts w:ascii="Calibri" w:eastAsia="+mn-ea" w:hAnsi="Calibri" w:cs="+mn-cs"/>
          <w:kern w:val="24"/>
          <w:sz w:val="20"/>
          <w:szCs w:val="20"/>
          <w:lang w:eastAsia="en-GB"/>
        </w:rPr>
        <w:t>v</w:t>
      </w:r>
      <w:r w:rsidR="00082ED0" w:rsidRPr="00446A37">
        <w:rPr>
          <w:rFonts w:ascii="Calibri" w:eastAsia="+mn-ea" w:hAnsi="Calibri" w:cs="+mn-cs"/>
          <w:kern w:val="24"/>
          <w:sz w:val="20"/>
          <w:szCs w:val="20"/>
          <w:lang w:eastAsia="en-GB"/>
        </w:rPr>
        <w:t>accines against other neglected tropical diseases.</w:t>
      </w:r>
    </w:p>
    <w:p w:rsidR="00C04C85" w:rsidRDefault="00C04C85" w:rsidP="00C04C85">
      <w:pPr>
        <w:kinsoku w:val="0"/>
        <w:overflowPunct w:val="0"/>
        <w:spacing w:after="0" w:line="240" w:lineRule="auto"/>
        <w:textAlignment w:val="baseline"/>
        <w:rPr>
          <w:rFonts w:ascii="Calibri" w:eastAsia="Calibri" w:hAnsi="Calibri" w:cs="Times New Roman"/>
          <w:b/>
          <w:bCs/>
          <w:i/>
          <w:iCs/>
          <w:color w:val="000000"/>
          <w:kern w:val="24"/>
          <w:lang w:val="en-US" w:eastAsia="en-GB"/>
        </w:rPr>
      </w:pPr>
    </w:p>
    <w:p w:rsidR="00C04C85" w:rsidRPr="00C04C85" w:rsidRDefault="00C04C85" w:rsidP="00C04C85">
      <w:pPr>
        <w:kinsoku w:val="0"/>
        <w:overflowPunct w:val="0"/>
        <w:spacing w:after="0" w:line="240" w:lineRule="auto"/>
        <w:textAlignment w:val="baseline"/>
        <w:rPr>
          <w:rFonts w:ascii="Times New Roman" w:eastAsia="Times New Roman" w:hAnsi="Times New Roman" w:cs="Times New Roman"/>
          <w:sz w:val="24"/>
          <w:szCs w:val="24"/>
          <w:lang w:eastAsia="en-GB"/>
        </w:rPr>
      </w:pPr>
      <w:r w:rsidRPr="00C04C85">
        <w:rPr>
          <w:rFonts w:ascii="Calibri" w:eastAsia="Calibri" w:hAnsi="Calibri" w:cs="Times New Roman"/>
          <w:b/>
          <w:bCs/>
          <w:i/>
          <w:iCs/>
          <w:color w:val="000000"/>
          <w:kern w:val="24"/>
          <w:lang w:val="en-US" w:eastAsia="en-GB"/>
        </w:rPr>
        <w:t>Malaria Treatment</w:t>
      </w:r>
    </w:p>
    <w:p w:rsidR="00C04C85" w:rsidRPr="00C04C85" w:rsidRDefault="00C04C85" w:rsidP="00C04C85">
      <w:pPr>
        <w:kinsoku w:val="0"/>
        <w:overflowPunct w:val="0"/>
        <w:spacing w:after="0" w:line="240" w:lineRule="auto"/>
        <w:textAlignment w:val="baseline"/>
        <w:rPr>
          <w:rFonts w:ascii="Times New Roman" w:eastAsia="Times New Roman" w:hAnsi="Times New Roman" w:cs="Times New Roman"/>
          <w:sz w:val="24"/>
          <w:szCs w:val="24"/>
          <w:lang w:eastAsia="en-GB"/>
        </w:rPr>
      </w:pPr>
      <w:r w:rsidRPr="00C04C85">
        <w:rPr>
          <w:rFonts w:ascii="Calibri" w:eastAsia="Calibri" w:hAnsi="Calibri" w:cs="Times New Roman"/>
          <w:color w:val="000000"/>
          <w:kern w:val="24"/>
          <w:sz w:val="20"/>
          <w:szCs w:val="20"/>
          <w:lang w:val="en-US" w:eastAsia="en-GB"/>
        </w:rPr>
        <w:t>GSK has a research facility in Tres Cantos, Spain dedicated to conducting R&amp;D for diseases of the developing world, primarily malaria and tuberculosis. At this facility, drug development projects are prioritised primarily by their socio-economic and public health benefits, rather than by their commercial returns. There are over 100 GSK scientists at Tres Cantos, 25</w:t>
      </w:r>
      <w:r w:rsidRPr="00C04C85">
        <w:rPr>
          <w:rFonts w:ascii="Calibri" w:eastAsia="Calibri" w:hAnsi="Calibri" w:cs="Times New Roman"/>
          <w:b/>
          <w:bCs/>
          <w:color w:val="000000"/>
          <w:kern w:val="24"/>
          <w:sz w:val="20"/>
          <w:szCs w:val="20"/>
          <w:lang w:val="en-US" w:eastAsia="en-GB"/>
        </w:rPr>
        <w:t xml:space="preserve"> </w:t>
      </w:r>
      <w:r w:rsidRPr="00C04C85">
        <w:rPr>
          <w:rFonts w:ascii="Calibri" w:eastAsia="Calibri" w:hAnsi="Calibri" w:cs="Times New Roman"/>
          <w:color w:val="000000"/>
          <w:kern w:val="24"/>
          <w:sz w:val="20"/>
          <w:szCs w:val="20"/>
          <w:lang w:val="en-US" w:eastAsia="en-GB"/>
        </w:rPr>
        <w:t xml:space="preserve">of whom are supported by the non-profit Medicines for Malaria Venture (MMV). </w:t>
      </w:r>
    </w:p>
    <w:p w:rsidR="00C04C85" w:rsidRDefault="00C04C85" w:rsidP="00C04C85">
      <w:pPr>
        <w:rPr>
          <w:rFonts w:ascii="Calibri" w:eastAsia="Calibri" w:hAnsi="Calibri" w:cs="Times New Roman"/>
          <w:color w:val="000000"/>
          <w:kern w:val="24"/>
          <w:sz w:val="20"/>
          <w:szCs w:val="20"/>
          <w:lang w:val="en-US" w:eastAsia="en-GB"/>
        </w:rPr>
      </w:pPr>
      <w:r w:rsidRPr="00C04C85">
        <w:rPr>
          <w:rFonts w:ascii="Calibri" w:eastAsia="Calibri" w:hAnsi="Calibri" w:cs="Times New Roman"/>
          <w:color w:val="000000"/>
          <w:kern w:val="24"/>
          <w:sz w:val="20"/>
          <w:szCs w:val="20"/>
          <w:lang w:val="en-US" w:eastAsia="en-GB"/>
        </w:rPr>
        <w:lastRenderedPageBreak/>
        <w:t xml:space="preserve">As resistance to current malaria treatments increases, GSK is committed to developing new </w:t>
      </w:r>
      <w:r w:rsidR="006B27BC">
        <w:rPr>
          <w:rFonts w:ascii="Calibri" w:eastAsia="Calibri" w:hAnsi="Calibri" w:cs="Times New Roman"/>
          <w:color w:val="000000"/>
          <w:kern w:val="24"/>
          <w:sz w:val="20"/>
          <w:szCs w:val="20"/>
          <w:lang w:val="en-US" w:eastAsia="en-GB"/>
        </w:rPr>
        <w:t>medicines</w:t>
      </w:r>
      <w:r w:rsidRPr="00C04C85">
        <w:rPr>
          <w:rFonts w:ascii="Calibri" w:eastAsia="Calibri" w:hAnsi="Calibri" w:cs="Times New Roman"/>
          <w:color w:val="000000"/>
          <w:kern w:val="24"/>
          <w:sz w:val="20"/>
          <w:szCs w:val="20"/>
          <w:lang w:val="en-US" w:eastAsia="en-GB"/>
        </w:rPr>
        <w:t xml:space="preserve"> to treat the disease. In partnership with MMV, GSK researches potential therapies to address two of the most pressing needs in malaria drug research: treatments for drug-resistant strains of the malaria parasite and treatments for </w:t>
      </w:r>
      <w:r w:rsidRPr="00C04C85">
        <w:rPr>
          <w:rFonts w:ascii="Calibri" w:eastAsia="Calibri" w:hAnsi="Calibri" w:cs="Times New Roman"/>
          <w:i/>
          <w:iCs/>
          <w:color w:val="000000"/>
          <w:kern w:val="24"/>
          <w:sz w:val="20"/>
          <w:szCs w:val="20"/>
          <w:lang w:val="en-US" w:eastAsia="en-GB"/>
        </w:rPr>
        <w:t>Plasmodium vivax</w:t>
      </w:r>
      <w:r w:rsidRPr="00C04C85">
        <w:rPr>
          <w:rFonts w:ascii="Calibri" w:eastAsia="Calibri" w:hAnsi="Calibri" w:cs="Times New Roman"/>
          <w:color w:val="000000"/>
          <w:kern w:val="24"/>
          <w:sz w:val="20"/>
          <w:szCs w:val="20"/>
          <w:lang w:val="en-US" w:eastAsia="en-GB"/>
        </w:rPr>
        <w:t>, the strain of malaria that is predominant in Asia and Latin America</w:t>
      </w:r>
      <w:r w:rsidR="00C83C9B">
        <w:rPr>
          <w:rFonts w:ascii="Calibri" w:eastAsia="Calibri" w:hAnsi="Calibri" w:cs="Times New Roman"/>
          <w:color w:val="000000"/>
          <w:kern w:val="24"/>
          <w:sz w:val="20"/>
          <w:szCs w:val="20"/>
          <w:lang w:val="en-US" w:eastAsia="en-GB"/>
        </w:rPr>
        <w:t>.</w:t>
      </w:r>
    </w:p>
    <w:p w:rsidR="00C04C85" w:rsidRPr="001D756C" w:rsidRDefault="00423AC8" w:rsidP="00C04C85">
      <w:pPr>
        <w:rPr>
          <w:rFonts w:ascii="Calibri" w:eastAsia="+mn-ea" w:hAnsi="Calibri" w:cs="+mn-cs"/>
          <w:color w:val="000000"/>
          <w:kern w:val="24"/>
          <w:sz w:val="20"/>
          <w:szCs w:val="20"/>
          <w:lang w:val="en-US" w:eastAsia="en-GB"/>
        </w:rPr>
      </w:pPr>
      <w:r>
        <w:rPr>
          <w:b/>
          <w:bCs/>
          <w:i/>
          <w:iCs/>
          <w:lang w:val="en-US"/>
        </w:rPr>
        <w:t>G</w:t>
      </w:r>
      <w:r w:rsidR="00C04C85" w:rsidRPr="00C04C85">
        <w:rPr>
          <w:b/>
          <w:bCs/>
          <w:i/>
          <w:iCs/>
          <w:lang w:val="en-US"/>
        </w:rPr>
        <w:t xml:space="preserve">SK’s Open Innovation Strategy </w:t>
      </w:r>
      <w:r w:rsidR="001D756C">
        <w:br/>
      </w:r>
      <w:r w:rsidR="00C04C85" w:rsidRPr="001D756C">
        <w:rPr>
          <w:rFonts w:ascii="Calibri" w:eastAsia="+mn-ea" w:hAnsi="Calibri" w:cs="+mn-cs"/>
          <w:color w:val="000000"/>
          <w:kern w:val="24"/>
          <w:sz w:val="20"/>
          <w:szCs w:val="20"/>
          <w:lang w:val="en-US" w:eastAsia="en-GB"/>
        </w:rPr>
        <w:t xml:space="preserve">GSK is adapting its business model further to adopt a more open approach to R&amp;D for diseases of the developing world, including malaria. Given the scale of the task we all face, we must find new ways for industry, academia, NGOs and governments to work together. </w:t>
      </w:r>
      <w:r w:rsidR="00C83C9B">
        <w:rPr>
          <w:rFonts w:ascii="Calibri" w:eastAsia="+mn-ea" w:hAnsi="Calibri" w:cs="+mn-cs"/>
          <w:color w:val="000000"/>
          <w:kern w:val="24"/>
          <w:sz w:val="20"/>
          <w:szCs w:val="20"/>
          <w:lang w:val="en-US" w:eastAsia="en-GB"/>
        </w:rPr>
        <w:t>O</w:t>
      </w:r>
      <w:r w:rsidR="00D31EEB">
        <w:rPr>
          <w:rFonts w:ascii="Calibri" w:eastAsia="+mn-ea" w:hAnsi="Calibri" w:cs="+mn-cs"/>
          <w:color w:val="000000"/>
          <w:kern w:val="24"/>
          <w:sz w:val="20"/>
          <w:szCs w:val="20"/>
          <w:lang w:val="en-US" w:eastAsia="en-GB"/>
        </w:rPr>
        <w:t xml:space="preserve">ur open innovation </w:t>
      </w:r>
      <w:r w:rsidR="00C04C85" w:rsidRPr="001D756C">
        <w:rPr>
          <w:rFonts w:ascii="Calibri" w:eastAsia="+mn-ea" w:hAnsi="Calibri" w:cs="+mn-cs"/>
          <w:color w:val="000000"/>
          <w:kern w:val="24"/>
          <w:sz w:val="20"/>
          <w:szCs w:val="20"/>
          <w:lang w:val="en-US" w:eastAsia="en-GB"/>
        </w:rPr>
        <w:t>str</w:t>
      </w:r>
      <w:r w:rsidR="00C83C9B">
        <w:rPr>
          <w:rFonts w:ascii="Calibri" w:eastAsia="+mn-ea" w:hAnsi="Calibri" w:cs="+mn-cs"/>
          <w:color w:val="000000"/>
          <w:kern w:val="24"/>
          <w:sz w:val="20"/>
          <w:szCs w:val="20"/>
          <w:lang w:val="en-US" w:eastAsia="en-GB"/>
        </w:rPr>
        <w:t xml:space="preserve">ategy </w:t>
      </w:r>
      <w:r w:rsidR="00C04C85" w:rsidRPr="001D756C">
        <w:rPr>
          <w:rFonts w:ascii="Calibri" w:eastAsia="+mn-ea" w:hAnsi="Calibri" w:cs="+mn-cs"/>
          <w:color w:val="000000"/>
          <w:kern w:val="24"/>
          <w:sz w:val="20"/>
          <w:szCs w:val="20"/>
          <w:lang w:val="en-US" w:eastAsia="en-GB"/>
        </w:rPr>
        <w:t>is designed to foster and facilitate more R&amp;D for neglected tropical diseases. This strategy has three core elements:</w:t>
      </w:r>
    </w:p>
    <w:p w:rsidR="00C04C85" w:rsidRDefault="00C04C85" w:rsidP="00C04C85">
      <w:r w:rsidRPr="00C04C85">
        <w:rPr>
          <w:noProof/>
          <w:lang w:val="fi-FI" w:eastAsia="fi-FI"/>
        </w:rPr>
        <w:drawing>
          <wp:inline distT="0" distB="0" distL="0" distR="0">
            <wp:extent cx="5731510" cy="1862128"/>
            <wp:effectExtent l="19050" t="0" r="254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97588" cy="1981200"/>
                      <a:chOff x="450850" y="2563813"/>
                      <a:chExt cx="6097588" cy="1981200"/>
                    </a:xfrm>
                  </a:grpSpPr>
                  <a:sp>
                    <a:nvSpPr>
                      <a:cNvPr id="13" name="Round Diagonal Corner Rectangle 12"/>
                      <a:cNvSpPr/>
                    </a:nvSpPr>
                    <a:spPr>
                      <a:xfrm>
                        <a:off x="450850" y="2563813"/>
                        <a:ext cx="2327275" cy="1981200"/>
                      </a:xfrm>
                      <a:prstGeom prst="round2DiagRect">
                        <a:avLst/>
                      </a:prstGeom>
                      <a:solidFill>
                        <a:sysClr val="window" lastClr="FFFFFF"/>
                      </a:solidFill>
                      <a:ln w="25400" cap="flat" cmpd="sng" algn="ctr">
                        <a:noFill/>
                        <a:prstDash val="solid"/>
                      </a:ln>
                      <a:effectLst/>
                    </a:spPr>
                    <a:txSp>
                      <a:txBody>
                        <a:bodyPr lIns="0" tIns="0" rIns="0" bIns="0" anchor="ctr"/>
                        <a:lstStyle>
                          <a:defPPr>
                            <a:defRPr lang="en-US"/>
                          </a:defPPr>
                          <a:lvl1pPr algn="l" defTabSz="949325" rtl="0" fontAlgn="base">
                            <a:spcBef>
                              <a:spcPct val="0"/>
                            </a:spcBef>
                            <a:spcAft>
                              <a:spcPct val="0"/>
                            </a:spcAft>
                            <a:defRPr sz="1900" kern="1200">
                              <a:solidFill>
                                <a:sysClr val="window" lastClr="FFFFFF"/>
                              </a:solidFill>
                              <a:latin typeface="Calibri"/>
                            </a:defRPr>
                          </a:lvl1pPr>
                          <a:lvl2pPr marL="474663" indent="-17463" algn="l" defTabSz="949325" rtl="0" fontAlgn="base">
                            <a:spcBef>
                              <a:spcPct val="0"/>
                            </a:spcBef>
                            <a:spcAft>
                              <a:spcPct val="0"/>
                            </a:spcAft>
                            <a:defRPr sz="1900" kern="1200">
                              <a:solidFill>
                                <a:sysClr val="window" lastClr="FFFFFF"/>
                              </a:solidFill>
                              <a:latin typeface="Calibri"/>
                            </a:defRPr>
                          </a:lvl2pPr>
                          <a:lvl3pPr marL="949325" indent="-34925" algn="l" defTabSz="949325" rtl="0" fontAlgn="base">
                            <a:spcBef>
                              <a:spcPct val="0"/>
                            </a:spcBef>
                            <a:spcAft>
                              <a:spcPct val="0"/>
                            </a:spcAft>
                            <a:defRPr sz="1900" kern="1200">
                              <a:solidFill>
                                <a:sysClr val="window" lastClr="FFFFFF"/>
                              </a:solidFill>
                              <a:latin typeface="Calibri"/>
                            </a:defRPr>
                          </a:lvl3pPr>
                          <a:lvl4pPr marL="1425575" indent="-53975" algn="l" defTabSz="949325" rtl="0" fontAlgn="base">
                            <a:spcBef>
                              <a:spcPct val="0"/>
                            </a:spcBef>
                            <a:spcAft>
                              <a:spcPct val="0"/>
                            </a:spcAft>
                            <a:defRPr sz="1900" kern="1200">
                              <a:solidFill>
                                <a:sysClr val="window" lastClr="FFFFFF"/>
                              </a:solidFill>
                              <a:latin typeface="Calibri"/>
                            </a:defRPr>
                          </a:lvl4pPr>
                          <a:lvl5pPr marL="1900238" indent="-71438" algn="l" defTabSz="949325" rtl="0" fontAlgn="base">
                            <a:spcBef>
                              <a:spcPct val="0"/>
                            </a:spcBef>
                            <a:spcAft>
                              <a:spcPct val="0"/>
                            </a:spcAft>
                            <a:defRPr sz="1900" kern="1200">
                              <a:solidFill>
                                <a:sysClr val="window" lastClr="FFFFFF"/>
                              </a:solidFill>
                              <a:latin typeface="Calibri"/>
                            </a:defRPr>
                          </a:lvl5pPr>
                          <a:lvl6pPr marL="2286000" algn="l" defTabSz="914400" rtl="0" eaLnBrk="1" latinLnBrk="0" hangingPunct="1">
                            <a:defRPr sz="1900" kern="1200">
                              <a:solidFill>
                                <a:sysClr val="window" lastClr="FFFFFF"/>
                              </a:solidFill>
                              <a:latin typeface="Calibri"/>
                            </a:defRPr>
                          </a:lvl6pPr>
                          <a:lvl7pPr marL="2743200" algn="l" defTabSz="914400" rtl="0" eaLnBrk="1" latinLnBrk="0" hangingPunct="1">
                            <a:defRPr sz="1900" kern="1200">
                              <a:solidFill>
                                <a:sysClr val="window" lastClr="FFFFFF"/>
                              </a:solidFill>
                              <a:latin typeface="Calibri"/>
                            </a:defRPr>
                          </a:lvl7pPr>
                          <a:lvl8pPr marL="3200400" algn="l" defTabSz="914400" rtl="0" eaLnBrk="1" latinLnBrk="0" hangingPunct="1">
                            <a:defRPr sz="1900" kern="1200">
                              <a:solidFill>
                                <a:sysClr val="window" lastClr="FFFFFF"/>
                              </a:solidFill>
                              <a:latin typeface="Calibri"/>
                            </a:defRPr>
                          </a:lvl8pPr>
                          <a:lvl9pPr marL="3657600" algn="l" defTabSz="914400" rtl="0" eaLnBrk="1" latinLnBrk="0" hangingPunct="1">
                            <a:defRPr sz="1900" kern="1200">
                              <a:solidFill>
                                <a:sysClr val="window" lastClr="FFFFFF"/>
                              </a:solidFill>
                              <a:latin typeface="Calibri"/>
                            </a:defRPr>
                          </a:lvl9pPr>
                        </a:lstStyle>
                        <a:p>
                          <a:pPr>
                            <a:defRPr/>
                          </a:pPr>
                          <a:r>
                            <a:rPr lang="en-US" sz="1000" b="1" dirty="0">
                              <a:solidFill>
                                <a:sysClr val="windowText" lastClr="000000"/>
                              </a:solidFill>
                              <a:ea typeface="Calibri" pitchFamily="34" charset="0"/>
                              <a:cs typeface="Times New Roman" pitchFamily="18" charset="0"/>
                            </a:rPr>
                            <a:t>Being more flexible with our IP &amp; know-how</a:t>
                          </a:r>
                          <a:r>
                            <a:rPr lang="en-US" sz="1000" dirty="0">
                              <a:solidFill>
                                <a:sysClr val="windowText" lastClr="000000"/>
                              </a:solidFill>
                              <a:ea typeface="Calibri" pitchFamily="34" charset="0"/>
                              <a:cs typeface="Times New Roman" pitchFamily="18" charset="0"/>
                            </a:rPr>
                            <a:t>: </a:t>
                          </a:r>
                          <a:r>
                            <a:rPr lang="en-US" sz="950" dirty="0">
                              <a:solidFill>
                                <a:sysClr val="windowText" lastClr="000000"/>
                              </a:solidFill>
                              <a:ea typeface="Calibri" pitchFamily="34" charset="0"/>
                              <a:cs typeface="Times New Roman" pitchFamily="18" charset="0"/>
                            </a:rPr>
                            <a:t>In March 2009, GSK put many of our important resources – including a pool of patents, research ‘know-how’ and technology assets – into an open ‘knowledge pool.’ Researchers outside of GSK can now use this information, which will hopefully stimulate cutting-edge research on medicines for neglected diseases, including malaria. The knowledge pool is now being administered by the not-for-profit BIO Ventures for Global Health.</a:t>
                          </a:r>
                          <a:endParaRPr lang="en-US" sz="950"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ound Diagonal Corner Rectangle 13"/>
                      <a:cNvSpPr/>
                    </a:nvSpPr>
                    <a:spPr>
                      <a:xfrm>
                        <a:off x="2841625" y="2563813"/>
                        <a:ext cx="1828800" cy="1981200"/>
                      </a:xfrm>
                      <a:prstGeom prst="round2DiagRect">
                        <a:avLst/>
                      </a:prstGeom>
                      <a:solidFill>
                        <a:sysClr val="window" lastClr="FFFFFF"/>
                      </a:solidFill>
                      <a:ln w="25400" cap="flat" cmpd="sng" algn="ctr">
                        <a:noFill/>
                        <a:prstDash val="solid"/>
                      </a:ln>
                      <a:effectLst/>
                    </a:spPr>
                    <a:txSp>
                      <a:txBody>
                        <a:bodyPr lIns="0" tIns="0" rIns="0" bIns="0" anchor="ctr"/>
                        <a:lstStyle>
                          <a:defPPr>
                            <a:defRPr lang="en-US"/>
                          </a:defPPr>
                          <a:lvl1pPr algn="l" defTabSz="949325" rtl="0" fontAlgn="base">
                            <a:spcBef>
                              <a:spcPct val="0"/>
                            </a:spcBef>
                            <a:spcAft>
                              <a:spcPct val="0"/>
                            </a:spcAft>
                            <a:defRPr sz="1900" kern="1200">
                              <a:solidFill>
                                <a:sysClr val="window" lastClr="FFFFFF"/>
                              </a:solidFill>
                              <a:latin typeface="Calibri"/>
                            </a:defRPr>
                          </a:lvl1pPr>
                          <a:lvl2pPr marL="474663" indent="-17463" algn="l" defTabSz="949325" rtl="0" fontAlgn="base">
                            <a:spcBef>
                              <a:spcPct val="0"/>
                            </a:spcBef>
                            <a:spcAft>
                              <a:spcPct val="0"/>
                            </a:spcAft>
                            <a:defRPr sz="1900" kern="1200">
                              <a:solidFill>
                                <a:sysClr val="window" lastClr="FFFFFF"/>
                              </a:solidFill>
                              <a:latin typeface="Calibri"/>
                            </a:defRPr>
                          </a:lvl2pPr>
                          <a:lvl3pPr marL="949325" indent="-34925" algn="l" defTabSz="949325" rtl="0" fontAlgn="base">
                            <a:spcBef>
                              <a:spcPct val="0"/>
                            </a:spcBef>
                            <a:spcAft>
                              <a:spcPct val="0"/>
                            </a:spcAft>
                            <a:defRPr sz="1900" kern="1200">
                              <a:solidFill>
                                <a:sysClr val="window" lastClr="FFFFFF"/>
                              </a:solidFill>
                              <a:latin typeface="Calibri"/>
                            </a:defRPr>
                          </a:lvl3pPr>
                          <a:lvl4pPr marL="1425575" indent="-53975" algn="l" defTabSz="949325" rtl="0" fontAlgn="base">
                            <a:spcBef>
                              <a:spcPct val="0"/>
                            </a:spcBef>
                            <a:spcAft>
                              <a:spcPct val="0"/>
                            </a:spcAft>
                            <a:defRPr sz="1900" kern="1200">
                              <a:solidFill>
                                <a:sysClr val="window" lastClr="FFFFFF"/>
                              </a:solidFill>
                              <a:latin typeface="Calibri"/>
                            </a:defRPr>
                          </a:lvl4pPr>
                          <a:lvl5pPr marL="1900238" indent="-71438" algn="l" defTabSz="949325" rtl="0" fontAlgn="base">
                            <a:spcBef>
                              <a:spcPct val="0"/>
                            </a:spcBef>
                            <a:spcAft>
                              <a:spcPct val="0"/>
                            </a:spcAft>
                            <a:defRPr sz="1900" kern="1200">
                              <a:solidFill>
                                <a:sysClr val="window" lastClr="FFFFFF"/>
                              </a:solidFill>
                              <a:latin typeface="Calibri"/>
                            </a:defRPr>
                          </a:lvl5pPr>
                          <a:lvl6pPr marL="2286000" algn="l" defTabSz="914400" rtl="0" eaLnBrk="1" latinLnBrk="0" hangingPunct="1">
                            <a:defRPr sz="1900" kern="1200">
                              <a:solidFill>
                                <a:sysClr val="window" lastClr="FFFFFF"/>
                              </a:solidFill>
                              <a:latin typeface="Calibri"/>
                            </a:defRPr>
                          </a:lvl6pPr>
                          <a:lvl7pPr marL="2743200" algn="l" defTabSz="914400" rtl="0" eaLnBrk="1" latinLnBrk="0" hangingPunct="1">
                            <a:defRPr sz="1900" kern="1200">
                              <a:solidFill>
                                <a:sysClr val="window" lastClr="FFFFFF"/>
                              </a:solidFill>
                              <a:latin typeface="Calibri"/>
                            </a:defRPr>
                          </a:lvl7pPr>
                          <a:lvl8pPr marL="3200400" algn="l" defTabSz="914400" rtl="0" eaLnBrk="1" latinLnBrk="0" hangingPunct="1">
                            <a:defRPr sz="1900" kern="1200">
                              <a:solidFill>
                                <a:sysClr val="window" lastClr="FFFFFF"/>
                              </a:solidFill>
                              <a:latin typeface="Calibri"/>
                            </a:defRPr>
                          </a:lvl8pPr>
                          <a:lvl9pPr marL="3657600" algn="l" defTabSz="914400" rtl="0" eaLnBrk="1" latinLnBrk="0" hangingPunct="1">
                            <a:defRPr sz="1900" kern="1200">
                              <a:solidFill>
                                <a:sysClr val="window" lastClr="FFFFFF"/>
                              </a:solidFill>
                              <a:latin typeface="Calibri"/>
                            </a:defRPr>
                          </a:lvl9pPr>
                        </a:lstStyle>
                        <a:p>
                          <a:pPr>
                            <a:defRPr/>
                          </a:pPr>
                          <a:r>
                            <a:rPr lang="en-US" sz="1000" b="1" dirty="0">
                              <a:solidFill>
                                <a:sysClr val="windowText" lastClr="000000"/>
                              </a:solidFill>
                              <a:ea typeface="Calibri" pitchFamily="34" charset="0"/>
                              <a:cs typeface="Times New Roman" pitchFamily="18" charset="0"/>
                            </a:rPr>
                            <a:t>Enabling access to our resources</a:t>
                          </a:r>
                          <a:r>
                            <a:rPr lang="en-US" sz="1000" dirty="0">
                              <a:solidFill>
                                <a:sysClr val="windowText" lastClr="000000"/>
                              </a:solidFill>
                              <a:ea typeface="Calibri" pitchFamily="34" charset="0"/>
                              <a:cs typeface="Times New Roman" pitchFamily="18" charset="0"/>
                            </a:rPr>
                            <a:t>: </a:t>
                          </a:r>
                          <a:r>
                            <a:rPr lang="en-US" sz="950" dirty="0">
                              <a:solidFill>
                                <a:sysClr val="windowText" lastClr="000000"/>
                              </a:solidFill>
                              <a:ea typeface="Calibri" pitchFamily="34" charset="0"/>
                              <a:cs typeface="Times New Roman" pitchFamily="18" charset="0"/>
                            </a:rPr>
                            <a:t>GSK created an open laboratory at </a:t>
                          </a:r>
                          <a:r>
                            <a:rPr lang="en-US" sz="950" dirty="0" err="1">
                              <a:solidFill>
                                <a:sysClr val="windowText" lastClr="000000"/>
                              </a:solidFill>
                              <a:ea typeface="Calibri" pitchFamily="34" charset="0"/>
                              <a:cs typeface="Times New Roman" pitchFamily="18" charset="0"/>
                            </a:rPr>
                            <a:t>Tres</a:t>
                          </a:r>
                          <a:r>
                            <a:rPr lang="en-US" sz="950" dirty="0">
                              <a:solidFill>
                                <a:sysClr val="windowText" lastClr="000000"/>
                              </a:solidFill>
                              <a:ea typeface="Calibri" pitchFamily="34" charset="0"/>
                              <a:cs typeface="Times New Roman" pitchFamily="18" charset="0"/>
                            </a:rPr>
                            <a:t> Cantos with capacity for up to 60 independent researchers to pursue their own projects that could lead to new medicines for diseases of the developing world. A not-for-profit foundation will be established with £5m of seed funding from GSK to support these research projects.</a:t>
                          </a:r>
                          <a:endParaRPr lang="en-US" sz="950"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ound Diagonal Corner Rectangle 14"/>
                      <a:cNvSpPr/>
                    </a:nvSpPr>
                    <a:spPr>
                      <a:xfrm>
                        <a:off x="4719638" y="2563813"/>
                        <a:ext cx="1828800" cy="1981200"/>
                      </a:xfrm>
                      <a:prstGeom prst="round2DiagRect">
                        <a:avLst/>
                      </a:prstGeom>
                      <a:solidFill>
                        <a:sysClr val="window" lastClr="FFFFFF"/>
                      </a:solidFill>
                      <a:ln w="25400" cap="flat" cmpd="sng" algn="ctr">
                        <a:noFill/>
                        <a:prstDash val="solid"/>
                      </a:ln>
                      <a:effectLst/>
                    </a:spPr>
                    <a:txSp>
                      <a:txBody>
                        <a:bodyPr lIns="0" tIns="0" rIns="0" bIns="0" anchor="ctr"/>
                        <a:lstStyle>
                          <a:defPPr>
                            <a:defRPr lang="en-US"/>
                          </a:defPPr>
                          <a:lvl1pPr algn="l" defTabSz="949325" rtl="0" fontAlgn="base">
                            <a:spcBef>
                              <a:spcPct val="0"/>
                            </a:spcBef>
                            <a:spcAft>
                              <a:spcPct val="0"/>
                            </a:spcAft>
                            <a:defRPr sz="1900" kern="1200">
                              <a:solidFill>
                                <a:sysClr val="window" lastClr="FFFFFF"/>
                              </a:solidFill>
                              <a:latin typeface="Calibri"/>
                            </a:defRPr>
                          </a:lvl1pPr>
                          <a:lvl2pPr marL="474663" indent="-17463" algn="l" defTabSz="949325" rtl="0" fontAlgn="base">
                            <a:spcBef>
                              <a:spcPct val="0"/>
                            </a:spcBef>
                            <a:spcAft>
                              <a:spcPct val="0"/>
                            </a:spcAft>
                            <a:defRPr sz="1900" kern="1200">
                              <a:solidFill>
                                <a:sysClr val="window" lastClr="FFFFFF"/>
                              </a:solidFill>
                              <a:latin typeface="Calibri"/>
                            </a:defRPr>
                          </a:lvl2pPr>
                          <a:lvl3pPr marL="949325" indent="-34925" algn="l" defTabSz="949325" rtl="0" fontAlgn="base">
                            <a:spcBef>
                              <a:spcPct val="0"/>
                            </a:spcBef>
                            <a:spcAft>
                              <a:spcPct val="0"/>
                            </a:spcAft>
                            <a:defRPr sz="1900" kern="1200">
                              <a:solidFill>
                                <a:sysClr val="window" lastClr="FFFFFF"/>
                              </a:solidFill>
                              <a:latin typeface="Calibri"/>
                            </a:defRPr>
                          </a:lvl3pPr>
                          <a:lvl4pPr marL="1425575" indent="-53975" algn="l" defTabSz="949325" rtl="0" fontAlgn="base">
                            <a:spcBef>
                              <a:spcPct val="0"/>
                            </a:spcBef>
                            <a:spcAft>
                              <a:spcPct val="0"/>
                            </a:spcAft>
                            <a:defRPr sz="1900" kern="1200">
                              <a:solidFill>
                                <a:sysClr val="window" lastClr="FFFFFF"/>
                              </a:solidFill>
                              <a:latin typeface="Calibri"/>
                            </a:defRPr>
                          </a:lvl4pPr>
                          <a:lvl5pPr marL="1900238" indent="-71438" algn="l" defTabSz="949325" rtl="0" fontAlgn="base">
                            <a:spcBef>
                              <a:spcPct val="0"/>
                            </a:spcBef>
                            <a:spcAft>
                              <a:spcPct val="0"/>
                            </a:spcAft>
                            <a:defRPr sz="1900" kern="1200">
                              <a:solidFill>
                                <a:sysClr val="window" lastClr="FFFFFF"/>
                              </a:solidFill>
                              <a:latin typeface="Calibri"/>
                            </a:defRPr>
                          </a:lvl5pPr>
                          <a:lvl6pPr marL="2286000" algn="l" defTabSz="914400" rtl="0" eaLnBrk="1" latinLnBrk="0" hangingPunct="1">
                            <a:defRPr sz="1900" kern="1200">
                              <a:solidFill>
                                <a:sysClr val="window" lastClr="FFFFFF"/>
                              </a:solidFill>
                              <a:latin typeface="Calibri"/>
                            </a:defRPr>
                          </a:lvl6pPr>
                          <a:lvl7pPr marL="2743200" algn="l" defTabSz="914400" rtl="0" eaLnBrk="1" latinLnBrk="0" hangingPunct="1">
                            <a:defRPr sz="1900" kern="1200">
                              <a:solidFill>
                                <a:sysClr val="window" lastClr="FFFFFF"/>
                              </a:solidFill>
                              <a:latin typeface="Calibri"/>
                            </a:defRPr>
                          </a:lvl7pPr>
                          <a:lvl8pPr marL="3200400" algn="l" defTabSz="914400" rtl="0" eaLnBrk="1" latinLnBrk="0" hangingPunct="1">
                            <a:defRPr sz="1900" kern="1200">
                              <a:solidFill>
                                <a:sysClr val="window" lastClr="FFFFFF"/>
                              </a:solidFill>
                              <a:latin typeface="Calibri"/>
                            </a:defRPr>
                          </a:lvl8pPr>
                          <a:lvl9pPr marL="3657600" algn="l" defTabSz="914400" rtl="0" eaLnBrk="1" latinLnBrk="0" hangingPunct="1">
                            <a:defRPr sz="1900" kern="1200">
                              <a:solidFill>
                                <a:sysClr val="window" lastClr="FFFFFF"/>
                              </a:solidFill>
                              <a:latin typeface="Calibri"/>
                            </a:defRPr>
                          </a:lvl9pPr>
                        </a:lstStyle>
                        <a:p>
                          <a:pPr>
                            <a:defRPr/>
                          </a:pPr>
                          <a:r>
                            <a:rPr lang="en-US" sz="1000" b="1">
                              <a:solidFill>
                                <a:sysClr val="windowText" lastClr="000000"/>
                              </a:solidFill>
                              <a:ea typeface="Calibri" pitchFamily="34" charset="0"/>
                              <a:cs typeface="Times New Roman" pitchFamily="18" charset="0"/>
                            </a:rPr>
                            <a:t>Sharing our compounds &amp; data</a:t>
                          </a:r>
                          <a:r>
                            <a:rPr lang="en-US" sz="1000">
                              <a:solidFill>
                                <a:sysClr val="windowText" lastClr="000000"/>
                              </a:solidFill>
                              <a:ea typeface="Calibri" pitchFamily="34" charset="0"/>
                              <a:cs typeface="Times New Roman" pitchFamily="18" charset="0"/>
                            </a:rPr>
                            <a:t>: </a:t>
                          </a:r>
                          <a:r>
                            <a:rPr lang="en-US" sz="900">
                              <a:solidFill>
                                <a:sysClr val="windowText" lastClr="000000"/>
                              </a:solidFill>
                              <a:ea typeface="Calibri" pitchFamily="34" charset="0"/>
                              <a:cs typeface="Times New Roman" pitchFamily="18" charset="0"/>
                            </a:rPr>
                            <a:t>GSK screened more than two million of our ‘compounds’ –  the building blocks of all new medicines – and found 13,500 that showed potential efficacy against the malaria parasite. To speed the development of malaria drugs, we will release this information to researchers around the globe who can use it to further their own research.</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D756C" w:rsidRPr="001D756C" w:rsidRDefault="004E4890" w:rsidP="001D756C">
      <w:pPr>
        <w:kinsoku w:val="0"/>
        <w:overflowPunct w:val="0"/>
        <w:spacing w:after="0" w:line="240" w:lineRule="auto"/>
        <w:textAlignment w:val="baseline"/>
        <w:rPr>
          <w:rFonts w:ascii="Calibri" w:eastAsia="+mn-ea" w:hAnsi="Calibri" w:cs="+mn-cs"/>
          <w:b/>
          <w:bCs/>
          <w:color w:val="E46C0A"/>
          <w:kern w:val="24"/>
          <w:sz w:val="24"/>
          <w:szCs w:val="24"/>
          <w:lang w:val="en-US" w:eastAsia="en-GB"/>
        </w:rPr>
      </w:pPr>
      <w:r w:rsidRPr="001D756C">
        <w:rPr>
          <w:rFonts w:ascii="Calibri" w:eastAsia="+mn-ea" w:hAnsi="Calibri" w:cs="+mn-cs"/>
          <w:b/>
          <w:bCs/>
          <w:color w:val="E46C0A"/>
          <w:kern w:val="24"/>
          <w:sz w:val="24"/>
          <w:szCs w:val="24"/>
          <w:lang w:val="en-US" w:eastAsia="en-GB"/>
        </w:rPr>
        <w:t>C</w:t>
      </w:r>
      <w:r w:rsidR="00C04C85" w:rsidRPr="001D756C">
        <w:rPr>
          <w:rFonts w:ascii="Calibri" w:eastAsia="+mn-ea" w:hAnsi="Calibri" w:cs="+mn-cs"/>
          <w:b/>
          <w:bCs/>
          <w:color w:val="E46C0A"/>
          <w:kern w:val="24"/>
          <w:sz w:val="24"/>
          <w:szCs w:val="24"/>
          <w:lang w:val="en-US" w:eastAsia="en-GB"/>
        </w:rPr>
        <w:t xml:space="preserve">ommunity Investment Activities </w:t>
      </w:r>
      <w:r w:rsidR="001D756C" w:rsidRPr="001D756C">
        <w:rPr>
          <w:rFonts w:ascii="Calibri" w:eastAsia="+mn-ea" w:hAnsi="Calibri" w:cs="+mn-cs"/>
          <w:b/>
          <w:bCs/>
          <w:color w:val="E46C0A"/>
          <w:kern w:val="24"/>
          <w:sz w:val="24"/>
          <w:szCs w:val="24"/>
          <w:lang w:val="en-US" w:eastAsia="en-GB"/>
        </w:rPr>
        <w:br/>
      </w:r>
    </w:p>
    <w:p w:rsidR="00C04C85" w:rsidRPr="00C04C85" w:rsidRDefault="00C04C85" w:rsidP="00C04C85">
      <w:r w:rsidRPr="00C04C85">
        <w:rPr>
          <w:lang w:val="en-US"/>
        </w:rPr>
        <w:t xml:space="preserve">Through our African Malaria Partnership (AMP), GSK works at the local level to improve the prevention and treatment of malaria in sub-Saharan Africa. Since 2001, we have committed over </w:t>
      </w:r>
      <w:r w:rsidR="005F30C0">
        <w:rPr>
          <w:lang w:val="en-US"/>
        </w:rPr>
        <w:br/>
      </w:r>
      <w:r w:rsidRPr="00C04C85">
        <w:rPr>
          <w:lang w:val="en-US"/>
        </w:rPr>
        <w:t>£3 million to community initiatives and have partnered with organisations on the ground to promote the use of existing interventions, such as bed nets, indoor residual spraying and current treatments.</w:t>
      </w:r>
    </w:p>
    <w:p w:rsidR="00C04C85" w:rsidRPr="00C04C85" w:rsidRDefault="00C04C85" w:rsidP="00C04C85">
      <w:r w:rsidRPr="00C04C85">
        <w:rPr>
          <w:lang w:val="en-US"/>
        </w:rPr>
        <w:t xml:space="preserve">Initial activities focused on behavioural change programmes across eight African countries.  In partnership with the Malaria Consortium, we support the ‘Mobilising for Malaria’ initiative, which builds awareness, political commitment and sustained funding for malaria control through advocacy initiatives.  National Coalitions Against Malaria have now been launched in the UK, Belgium, France, Ethiopia, Cameroon and Mozambique.  </w:t>
      </w:r>
    </w:p>
    <w:p w:rsidR="00C04C85" w:rsidRPr="00C04C85" w:rsidRDefault="00C04C85" w:rsidP="00C04C85">
      <w:r w:rsidRPr="00C04C85">
        <w:rPr>
          <w:lang w:val="en-US"/>
        </w:rPr>
        <w:t>In late 2009, the AMP announced new partnerships to build the capacity of community health workers and encourage behaviour change.  With a total commitment of £1.5 million over three years, the new projects include:</w:t>
      </w:r>
    </w:p>
    <w:p w:rsidR="00C04C85" w:rsidRPr="00C04C85" w:rsidRDefault="00C04C85" w:rsidP="00C04C85">
      <w:r w:rsidRPr="00C04C85">
        <w:rPr>
          <w:lang w:val="en-US"/>
        </w:rPr>
        <w:t xml:space="preserve">•  </w:t>
      </w:r>
      <w:r w:rsidRPr="00C04C85">
        <w:rPr>
          <w:b/>
          <w:bCs/>
          <w:lang w:val="en-US"/>
        </w:rPr>
        <w:t>African Medical and Research Foundation (AMREF) in Mtwara province, Tanzania</w:t>
      </w:r>
      <w:r w:rsidRPr="00C04C85">
        <w:rPr>
          <w:lang w:val="en-US"/>
        </w:rPr>
        <w:t xml:space="preserve">: The partners will train community health workers and mobilise communities to become frontline advocates in the fight against malaria. </w:t>
      </w:r>
    </w:p>
    <w:p w:rsidR="00C04C85" w:rsidRPr="00C04C85" w:rsidRDefault="00C04C85" w:rsidP="00C04C85">
      <w:r w:rsidRPr="00C04C85">
        <w:rPr>
          <w:lang w:val="en-US"/>
        </w:rPr>
        <w:t xml:space="preserve">•  </w:t>
      </w:r>
      <w:r w:rsidRPr="00C04C85">
        <w:rPr>
          <w:b/>
          <w:bCs/>
          <w:lang w:val="en-US"/>
        </w:rPr>
        <w:t>Family Health International (FHI) in the Brong Ahafo region of Ghana</w:t>
      </w:r>
      <w:r w:rsidRPr="00C04C85">
        <w:rPr>
          <w:lang w:val="en-US"/>
        </w:rPr>
        <w:t>:  Working with community health workers and household caregivers, the project aims to improve early recognition of malaria and provision of appropriate treatment, and to encourage health seeking behaviours and community mobilisation.</w:t>
      </w:r>
    </w:p>
    <w:p w:rsidR="00C04C85" w:rsidRPr="00C04C85" w:rsidRDefault="00C04C85" w:rsidP="00C04C85">
      <w:r w:rsidRPr="00C04C85">
        <w:rPr>
          <w:lang w:val="en-US"/>
        </w:rPr>
        <w:lastRenderedPageBreak/>
        <w:t xml:space="preserve">•  </w:t>
      </w:r>
      <w:r w:rsidRPr="00C04C85">
        <w:rPr>
          <w:b/>
          <w:bCs/>
          <w:lang w:val="en-US"/>
        </w:rPr>
        <w:t>Planned Parenthood of Nigeria in six selected communities</w:t>
      </w:r>
      <w:r w:rsidRPr="00C04C85">
        <w:rPr>
          <w:lang w:val="en-US"/>
        </w:rPr>
        <w:t xml:space="preserve">: This project will promote a community response to malaria through partnership with community committees, government agencies, vendors, community health workers and peer educators in schools. </w:t>
      </w:r>
    </w:p>
    <w:p w:rsidR="00C04C85" w:rsidRPr="00C04C85" w:rsidRDefault="00C04C85" w:rsidP="00C04C85">
      <w:r w:rsidRPr="00C04C85">
        <w:rPr>
          <w:lang w:val="en-US"/>
        </w:rPr>
        <w:t xml:space="preserve">•  </w:t>
      </w:r>
      <w:r w:rsidRPr="00C04C85">
        <w:rPr>
          <w:b/>
          <w:bCs/>
          <w:lang w:val="en-US"/>
        </w:rPr>
        <w:t>Save the Children in North East province, Kenya</w:t>
      </w:r>
      <w:r w:rsidRPr="00C04C85">
        <w:rPr>
          <w:lang w:val="en-US"/>
        </w:rPr>
        <w:t xml:space="preserve">: Through community campaigns, education, bed net distribution and community health worker trainings, the project aims to ensure targeted communities receive effective coverage and have access to diagnosis and treatment services. </w:t>
      </w:r>
    </w:p>
    <w:p w:rsidR="006D72AE" w:rsidRDefault="006D72AE" w:rsidP="001D756C">
      <w:pPr>
        <w:kinsoku w:val="0"/>
        <w:overflowPunct w:val="0"/>
        <w:spacing w:after="0" w:line="240" w:lineRule="auto"/>
        <w:textAlignment w:val="baseline"/>
        <w:rPr>
          <w:rFonts w:ascii="Calibri" w:eastAsia="+mn-ea" w:hAnsi="Calibri" w:cs="+mn-cs"/>
          <w:b/>
          <w:bCs/>
          <w:color w:val="E46C0A"/>
          <w:kern w:val="24"/>
          <w:sz w:val="24"/>
          <w:szCs w:val="24"/>
          <w:lang w:val="en-US" w:eastAsia="en-GB"/>
        </w:rPr>
      </w:pPr>
    </w:p>
    <w:p w:rsidR="00C04C85" w:rsidRPr="001D756C" w:rsidRDefault="00C04C85" w:rsidP="001D756C">
      <w:pPr>
        <w:kinsoku w:val="0"/>
        <w:overflowPunct w:val="0"/>
        <w:spacing w:after="0" w:line="240" w:lineRule="auto"/>
        <w:textAlignment w:val="baseline"/>
        <w:rPr>
          <w:rFonts w:ascii="Calibri" w:eastAsia="+mn-ea" w:hAnsi="Calibri" w:cs="+mn-cs"/>
          <w:b/>
          <w:bCs/>
          <w:color w:val="E46C0A"/>
          <w:kern w:val="24"/>
          <w:sz w:val="24"/>
          <w:szCs w:val="24"/>
          <w:lang w:val="en-US" w:eastAsia="en-GB"/>
        </w:rPr>
      </w:pPr>
      <w:r w:rsidRPr="001D756C">
        <w:rPr>
          <w:rFonts w:ascii="Calibri" w:eastAsia="+mn-ea" w:hAnsi="Calibri" w:cs="+mn-cs"/>
          <w:b/>
          <w:bCs/>
          <w:color w:val="E46C0A"/>
          <w:kern w:val="24"/>
          <w:sz w:val="24"/>
          <w:szCs w:val="24"/>
          <w:lang w:val="en-US" w:eastAsia="en-GB"/>
        </w:rPr>
        <w:t>Preferen</w:t>
      </w:r>
      <w:r w:rsidR="001D756C">
        <w:rPr>
          <w:rFonts w:ascii="Calibri" w:eastAsia="+mn-ea" w:hAnsi="Calibri" w:cs="+mn-cs"/>
          <w:b/>
          <w:bCs/>
          <w:color w:val="E46C0A"/>
          <w:kern w:val="24"/>
          <w:sz w:val="24"/>
          <w:szCs w:val="24"/>
          <w:lang w:val="en-US" w:eastAsia="en-GB"/>
        </w:rPr>
        <w:t>tial Pricing for Anti-Malarials</w:t>
      </w:r>
      <w:r w:rsidR="001D756C">
        <w:rPr>
          <w:rFonts w:ascii="Calibri" w:eastAsia="+mn-ea" w:hAnsi="Calibri" w:cs="+mn-cs"/>
          <w:b/>
          <w:bCs/>
          <w:color w:val="E46C0A"/>
          <w:kern w:val="24"/>
          <w:sz w:val="24"/>
          <w:szCs w:val="24"/>
          <w:lang w:val="en-US" w:eastAsia="en-GB"/>
        </w:rPr>
        <w:br/>
      </w:r>
    </w:p>
    <w:p w:rsidR="00C04C85" w:rsidRPr="00446A37" w:rsidRDefault="00C04C85" w:rsidP="00C04C85">
      <w:r w:rsidRPr="00C04C85">
        <w:rPr>
          <w:lang w:val="en-US"/>
        </w:rPr>
        <w:t xml:space="preserve">GSK provides its anti-malarials at deeply discounted prices in malaria-endemic countries throughout </w:t>
      </w:r>
      <w:r w:rsidRPr="00446A37">
        <w:rPr>
          <w:lang w:val="en-US"/>
        </w:rPr>
        <w:t xml:space="preserve">sub-Saharan Africa and elsewhere. Our anti-malarial pricing aligns with GSK’s innovative </w:t>
      </w:r>
      <w:r w:rsidR="004E4890" w:rsidRPr="00446A37">
        <w:rPr>
          <w:lang w:val="en-US"/>
        </w:rPr>
        <w:t xml:space="preserve">flexible </w:t>
      </w:r>
      <w:r w:rsidRPr="00446A37">
        <w:rPr>
          <w:lang w:val="en-US"/>
        </w:rPr>
        <w:t xml:space="preserve">pricing model, </w:t>
      </w:r>
      <w:r w:rsidR="004E4890" w:rsidRPr="00446A37">
        <w:rPr>
          <w:lang w:val="en-US"/>
        </w:rPr>
        <w:t xml:space="preserve">under </w:t>
      </w:r>
      <w:r w:rsidRPr="00446A37">
        <w:rPr>
          <w:lang w:val="en-US"/>
        </w:rPr>
        <w:t xml:space="preserve">which </w:t>
      </w:r>
      <w:r w:rsidR="004E4890" w:rsidRPr="00446A37">
        <w:rPr>
          <w:lang w:val="en-US"/>
        </w:rPr>
        <w:t xml:space="preserve">we set the prices of </w:t>
      </w:r>
      <w:r w:rsidRPr="00446A37">
        <w:rPr>
          <w:lang w:val="en-US"/>
        </w:rPr>
        <w:t xml:space="preserve">our </w:t>
      </w:r>
      <w:r w:rsidR="004E4890" w:rsidRPr="00446A37">
        <w:rPr>
          <w:lang w:val="en-US"/>
        </w:rPr>
        <w:t xml:space="preserve">medicines </w:t>
      </w:r>
      <w:r w:rsidRPr="00446A37">
        <w:rPr>
          <w:lang w:val="en-US"/>
        </w:rPr>
        <w:t xml:space="preserve">and vaccines </w:t>
      </w:r>
      <w:r w:rsidR="004E4890" w:rsidRPr="00446A37">
        <w:rPr>
          <w:lang w:val="en-US"/>
        </w:rPr>
        <w:t>at a level</w:t>
      </w:r>
      <w:r w:rsidR="004E4890" w:rsidRPr="00446A37">
        <w:rPr>
          <w:strike/>
          <w:lang w:val="en-US"/>
        </w:rPr>
        <w:t xml:space="preserve"> </w:t>
      </w:r>
      <w:r w:rsidRPr="00446A37">
        <w:rPr>
          <w:lang w:val="en-US"/>
        </w:rPr>
        <w:t xml:space="preserve">according to ability to pay to </w:t>
      </w:r>
      <w:r w:rsidR="004E4890" w:rsidRPr="00446A37">
        <w:rPr>
          <w:lang w:val="en-US"/>
        </w:rPr>
        <w:t xml:space="preserve">help </w:t>
      </w:r>
      <w:r w:rsidRPr="00446A37">
        <w:rPr>
          <w:lang w:val="en-US"/>
        </w:rPr>
        <w:t>expand access</w:t>
      </w:r>
      <w:r w:rsidR="004E4890" w:rsidRPr="00446A37">
        <w:rPr>
          <w:lang w:val="en-US"/>
        </w:rPr>
        <w:t xml:space="preserve"> in developing countries</w:t>
      </w:r>
      <w:r w:rsidRPr="00446A37">
        <w:rPr>
          <w:lang w:val="en-US"/>
        </w:rPr>
        <w:t>.</w:t>
      </w:r>
    </w:p>
    <w:sectPr w:rsidR="00C04C85" w:rsidRPr="00446A37" w:rsidSect="00EB51D9">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66C" w:rsidRDefault="00AF166C" w:rsidP="0062727B">
      <w:pPr>
        <w:spacing w:after="0" w:line="240" w:lineRule="auto"/>
      </w:pPr>
      <w:r>
        <w:separator/>
      </w:r>
    </w:p>
  </w:endnote>
  <w:endnote w:type="continuationSeparator" w:id="0">
    <w:p w:rsidR="00AF166C" w:rsidRDefault="00AF166C" w:rsidP="00627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66C" w:rsidRDefault="00AF166C" w:rsidP="0062727B">
      <w:pPr>
        <w:spacing w:after="0" w:line="240" w:lineRule="auto"/>
      </w:pPr>
      <w:r>
        <w:separator/>
      </w:r>
    </w:p>
  </w:footnote>
  <w:footnote w:type="continuationSeparator" w:id="0">
    <w:p w:rsidR="00AF166C" w:rsidRDefault="00AF166C" w:rsidP="00627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AE" w:rsidRDefault="003C5D9F">
    <w:pPr>
      <w:pStyle w:val="Header"/>
    </w:pPr>
    <w:r>
      <w:t xml:space="preserve">Final 14 </w:t>
    </w:r>
    <w:r w:rsidR="006D72AE">
      <w:t>October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5059"/>
    <w:multiLevelType w:val="multilevel"/>
    <w:tmpl w:val="693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187A71"/>
    <w:multiLevelType w:val="hybridMultilevel"/>
    <w:tmpl w:val="25129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A5F6D4A"/>
    <w:multiLevelType w:val="hybridMultilevel"/>
    <w:tmpl w:val="DAACB71C"/>
    <w:lvl w:ilvl="0" w:tplc="5EB2407A">
      <w:numFmt w:val="bullet"/>
      <w:lvlText w:val="•"/>
      <w:lvlJc w:val="left"/>
      <w:pPr>
        <w:ind w:left="360" w:hanging="360"/>
      </w:pPr>
      <w:rPr>
        <w:rFonts w:ascii="Calibri" w:eastAsia="+mn-ea" w:hAnsi="Calibri" w:cs="+mn-cs" w:hint="default"/>
        <w:color w:val="00000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1"/>
    <w:footnote w:id="0"/>
  </w:footnotePr>
  <w:endnotePr>
    <w:endnote w:id="-1"/>
    <w:endnote w:id="0"/>
  </w:endnotePr>
  <w:compat/>
  <w:rsids>
    <w:rsidRoot w:val="00C04C85"/>
    <w:rsid w:val="00044EC0"/>
    <w:rsid w:val="00082ED0"/>
    <w:rsid w:val="0009081A"/>
    <w:rsid w:val="000A17CE"/>
    <w:rsid w:val="000C0D18"/>
    <w:rsid w:val="000D5127"/>
    <w:rsid w:val="00123193"/>
    <w:rsid w:val="00147B19"/>
    <w:rsid w:val="00160506"/>
    <w:rsid w:val="001A02B2"/>
    <w:rsid w:val="001D756C"/>
    <w:rsid w:val="00243D2D"/>
    <w:rsid w:val="0025207D"/>
    <w:rsid w:val="00273DE2"/>
    <w:rsid w:val="002E7ED2"/>
    <w:rsid w:val="00310CF9"/>
    <w:rsid w:val="00312B06"/>
    <w:rsid w:val="003261C6"/>
    <w:rsid w:val="00335470"/>
    <w:rsid w:val="00352A7D"/>
    <w:rsid w:val="00364AAE"/>
    <w:rsid w:val="00384A08"/>
    <w:rsid w:val="003858E3"/>
    <w:rsid w:val="003C5D9F"/>
    <w:rsid w:val="003D7ECC"/>
    <w:rsid w:val="004012FB"/>
    <w:rsid w:val="00423AC8"/>
    <w:rsid w:val="00446A37"/>
    <w:rsid w:val="0047160C"/>
    <w:rsid w:val="00474BCE"/>
    <w:rsid w:val="004E4890"/>
    <w:rsid w:val="00532FB8"/>
    <w:rsid w:val="0057286A"/>
    <w:rsid w:val="0059396C"/>
    <w:rsid w:val="005F30C0"/>
    <w:rsid w:val="0062727B"/>
    <w:rsid w:val="00646CDB"/>
    <w:rsid w:val="006B27BC"/>
    <w:rsid w:val="006C6146"/>
    <w:rsid w:val="006D72AE"/>
    <w:rsid w:val="006F687E"/>
    <w:rsid w:val="0073161F"/>
    <w:rsid w:val="007648B2"/>
    <w:rsid w:val="008311EC"/>
    <w:rsid w:val="0084054B"/>
    <w:rsid w:val="0088425B"/>
    <w:rsid w:val="00893A6E"/>
    <w:rsid w:val="0091614C"/>
    <w:rsid w:val="009424BE"/>
    <w:rsid w:val="009D43F0"/>
    <w:rsid w:val="009F4F0F"/>
    <w:rsid w:val="00AF166C"/>
    <w:rsid w:val="00B36860"/>
    <w:rsid w:val="00B36A5B"/>
    <w:rsid w:val="00B410F9"/>
    <w:rsid w:val="00B731E1"/>
    <w:rsid w:val="00B87530"/>
    <w:rsid w:val="00BB3089"/>
    <w:rsid w:val="00BC4498"/>
    <w:rsid w:val="00BD1CC0"/>
    <w:rsid w:val="00C04C85"/>
    <w:rsid w:val="00C12D7F"/>
    <w:rsid w:val="00C24925"/>
    <w:rsid w:val="00C83C9B"/>
    <w:rsid w:val="00CA6409"/>
    <w:rsid w:val="00CC6239"/>
    <w:rsid w:val="00CE3FAD"/>
    <w:rsid w:val="00D12A78"/>
    <w:rsid w:val="00D31EEB"/>
    <w:rsid w:val="00D46FD3"/>
    <w:rsid w:val="00D61228"/>
    <w:rsid w:val="00D97619"/>
    <w:rsid w:val="00DB0BBF"/>
    <w:rsid w:val="00DF137F"/>
    <w:rsid w:val="00E21A2E"/>
    <w:rsid w:val="00E77CD6"/>
    <w:rsid w:val="00EB51D9"/>
    <w:rsid w:val="00EC0CAE"/>
    <w:rsid w:val="00EE55C0"/>
    <w:rsid w:val="00F37BC2"/>
    <w:rsid w:val="00F72F2C"/>
    <w:rsid w:val="00FB38AC"/>
    <w:rsid w:val="00FF7E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C85"/>
    <w:rPr>
      <w:rFonts w:ascii="Tahoma" w:hAnsi="Tahoma" w:cs="Tahoma"/>
      <w:sz w:val="16"/>
      <w:szCs w:val="16"/>
    </w:rPr>
  </w:style>
  <w:style w:type="paragraph" w:styleId="ListParagraph">
    <w:name w:val="List Paragraph"/>
    <w:basedOn w:val="Normal"/>
    <w:uiPriority w:val="34"/>
    <w:qFormat/>
    <w:rsid w:val="00C12D7F"/>
    <w:pPr>
      <w:ind w:left="720"/>
      <w:contextualSpacing/>
    </w:pPr>
  </w:style>
  <w:style w:type="paragraph" w:customStyle="1" w:styleId="Default">
    <w:name w:val="Default"/>
    <w:rsid w:val="00B410F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semiHidden/>
    <w:unhideWhenUsed/>
    <w:rsid w:val="006272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727B"/>
  </w:style>
  <w:style w:type="paragraph" w:styleId="Footer">
    <w:name w:val="footer"/>
    <w:basedOn w:val="Normal"/>
    <w:link w:val="FooterChar"/>
    <w:uiPriority w:val="99"/>
    <w:semiHidden/>
    <w:unhideWhenUsed/>
    <w:rsid w:val="006272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727B"/>
  </w:style>
</w:styles>
</file>

<file path=word/webSettings.xml><?xml version="1.0" encoding="utf-8"?>
<w:webSettings xmlns:r="http://schemas.openxmlformats.org/officeDocument/2006/relationships" xmlns:w="http://schemas.openxmlformats.org/wordprocessingml/2006/main">
  <w:divs>
    <w:div w:id="87044898">
      <w:bodyDiv w:val="1"/>
      <w:marLeft w:val="0"/>
      <w:marRight w:val="0"/>
      <w:marTop w:val="0"/>
      <w:marBottom w:val="0"/>
      <w:divBdr>
        <w:top w:val="none" w:sz="0" w:space="0" w:color="auto"/>
        <w:left w:val="none" w:sz="0" w:space="0" w:color="auto"/>
        <w:bottom w:val="none" w:sz="0" w:space="0" w:color="auto"/>
        <w:right w:val="none" w:sz="0" w:space="0" w:color="auto"/>
      </w:divBdr>
    </w:div>
    <w:div w:id="89354114">
      <w:bodyDiv w:val="1"/>
      <w:marLeft w:val="0"/>
      <w:marRight w:val="0"/>
      <w:marTop w:val="0"/>
      <w:marBottom w:val="0"/>
      <w:divBdr>
        <w:top w:val="none" w:sz="0" w:space="0" w:color="auto"/>
        <w:left w:val="none" w:sz="0" w:space="0" w:color="auto"/>
        <w:bottom w:val="none" w:sz="0" w:space="0" w:color="auto"/>
        <w:right w:val="none" w:sz="0" w:space="0" w:color="auto"/>
      </w:divBdr>
    </w:div>
    <w:div w:id="439571903">
      <w:bodyDiv w:val="1"/>
      <w:marLeft w:val="0"/>
      <w:marRight w:val="0"/>
      <w:marTop w:val="0"/>
      <w:marBottom w:val="0"/>
      <w:divBdr>
        <w:top w:val="none" w:sz="0" w:space="0" w:color="auto"/>
        <w:left w:val="none" w:sz="0" w:space="0" w:color="auto"/>
        <w:bottom w:val="none" w:sz="0" w:space="0" w:color="auto"/>
        <w:right w:val="none" w:sz="0" w:space="0" w:color="auto"/>
      </w:divBdr>
    </w:div>
    <w:div w:id="710612884">
      <w:bodyDiv w:val="1"/>
      <w:marLeft w:val="0"/>
      <w:marRight w:val="0"/>
      <w:marTop w:val="0"/>
      <w:marBottom w:val="0"/>
      <w:divBdr>
        <w:top w:val="none" w:sz="0" w:space="0" w:color="auto"/>
        <w:left w:val="none" w:sz="0" w:space="0" w:color="auto"/>
        <w:bottom w:val="none" w:sz="0" w:space="0" w:color="auto"/>
        <w:right w:val="none" w:sz="0" w:space="0" w:color="auto"/>
      </w:divBdr>
    </w:div>
    <w:div w:id="947856920">
      <w:bodyDiv w:val="1"/>
      <w:marLeft w:val="0"/>
      <w:marRight w:val="0"/>
      <w:marTop w:val="0"/>
      <w:marBottom w:val="0"/>
      <w:divBdr>
        <w:top w:val="none" w:sz="0" w:space="0" w:color="auto"/>
        <w:left w:val="none" w:sz="0" w:space="0" w:color="auto"/>
        <w:bottom w:val="none" w:sz="0" w:space="0" w:color="auto"/>
        <w:right w:val="none" w:sz="0" w:space="0" w:color="auto"/>
      </w:divBdr>
    </w:div>
    <w:div w:id="993995523">
      <w:bodyDiv w:val="1"/>
      <w:marLeft w:val="0"/>
      <w:marRight w:val="0"/>
      <w:marTop w:val="0"/>
      <w:marBottom w:val="0"/>
      <w:divBdr>
        <w:top w:val="none" w:sz="0" w:space="0" w:color="auto"/>
        <w:left w:val="none" w:sz="0" w:space="0" w:color="auto"/>
        <w:bottom w:val="none" w:sz="0" w:space="0" w:color="auto"/>
        <w:right w:val="none" w:sz="0" w:space="0" w:color="auto"/>
      </w:divBdr>
    </w:div>
    <w:div w:id="1103769793">
      <w:bodyDiv w:val="1"/>
      <w:marLeft w:val="0"/>
      <w:marRight w:val="0"/>
      <w:marTop w:val="0"/>
      <w:marBottom w:val="0"/>
      <w:divBdr>
        <w:top w:val="none" w:sz="0" w:space="0" w:color="auto"/>
        <w:left w:val="none" w:sz="0" w:space="0" w:color="auto"/>
        <w:bottom w:val="none" w:sz="0" w:space="0" w:color="auto"/>
        <w:right w:val="none" w:sz="0" w:space="0" w:color="auto"/>
      </w:divBdr>
    </w:div>
    <w:div w:id="1132165608">
      <w:bodyDiv w:val="1"/>
      <w:marLeft w:val="0"/>
      <w:marRight w:val="0"/>
      <w:marTop w:val="0"/>
      <w:marBottom w:val="0"/>
      <w:divBdr>
        <w:top w:val="none" w:sz="0" w:space="0" w:color="auto"/>
        <w:left w:val="none" w:sz="0" w:space="0" w:color="auto"/>
        <w:bottom w:val="none" w:sz="0" w:space="0" w:color="auto"/>
        <w:right w:val="none" w:sz="0" w:space="0" w:color="auto"/>
      </w:divBdr>
    </w:div>
    <w:div w:id="1245991042">
      <w:bodyDiv w:val="1"/>
      <w:marLeft w:val="0"/>
      <w:marRight w:val="0"/>
      <w:marTop w:val="0"/>
      <w:marBottom w:val="0"/>
      <w:divBdr>
        <w:top w:val="none" w:sz="0" w:space="0" w:color="auto"/>
        <w:left w:val="none" w:sz="0" w:space="0" w:color="auto"/>
        <w:bottom w:val="none" w:sz="0" w:space="0" w:color="auto"/>
        <w:right w:val="none" w:sz="0" w:space="0" w:color="auto"/>
      </w:divBdr>
    </w:div>
    <w:div w:id="1722093449">
      <w:bodyDiv w:val="1"/>
      <w:marLeft w:val="0"/>
      <w:marRight w:val="0"/>
      <w:marTop w:val="0"/>
      <w:marBottom w:val="0"/>
      <w:divBdr>
        <w:top w:val="none" w:sz="0" w:space="0" w:color="auto"/>
        <w:left w:val="none" w:sz="0" w:space="0" w:color="auto"/>
        <w:bottom w:val="none" w:sz="0" w:space="0" w:color="auto"/>
        <w:right w:val="none" w:sz="0" w:space="0" w:color="auto"/>
      </w:divBdr>
    </w:div>
    <w:div w:id="200076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4300149-444C-42E0-B3E1-B3CEA108E96B}">
  <ds:schemaRefs>
    <ds:schemaRef ds:uri="http://schemas.microsoft.com/office/2006/metadata/properties"/>
  </ds:schemaRefs>
</ds:datastoreItem>
</file>

<file path=customXml/itemProps2.xml><?xml version="1.0" encoding="utf-8"?>
<ds:datastoreItem xmlns:ds="http://schemas.openxmlformats.org/officeDocument/2006/customXml" ds:itemID="{137C6D7F-65FC-444A-BD9C-0A5F2047EC4B}">
  <ds:schemaRefs>
    <ds:schemaRef ds:uri="http://schemas.microsoft.com/sharepoint/v3/contenttype/forms"/>
  </ds:schemaRefs>
</ds:datastoreItem>
</file>

<file path=customXml/itemProps3.xml><?xml version="1.0" encoding="utf-8"?>
<ds:datastoreItem xmlns:ds="http://schemas.openxmlformats.org/officeDocument/2006/customXml" ds:itemID="{7EC31694-080E-42BB-AB05-DE1A5FD06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Hartley</dc:creator>
  <cp:keywords/>
  <dc:description/>
  <cp:lastModifiedBy>Anna Dammert</cp:lastModifiedBy>
  <cp:revision>2</cp:revision>
  <cp:lastPrinted>2011-10-19T07:38:00Z</cp:lastPrinted>
  <dcterms:created xsi:type="dcterms:W3CDTF">2011-10-19T08:07:00Z</dcterms:created>
  <dcterms:modified xsi:type="dcterms:W3CDTF">2011-10-19T08:07:00Z</dcterms:modified>
</cp:coreProperties>
</file>